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821E" w14:textId="6B59A81C" w:rsidR="00826A0F" w:rsidRDefault="00826A0F"/>
    <w:p w14:paraId="0DAFFB8B" w14:textId="7CDCC582" w:rsidR="0047550D" w:rsidRDefault="0047550D"/>
    <w:p w14:paraId="08837AD1" w14:textId="1E0ECDBF"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for a </w:t>
      </w:r>
      <w:r w:rsidR="00903FDF">
        <w:rPr>
          <w:rFonts w:ascii="Arial" w:hAnsi="Arial" w:cs="Arial"/>
          <w:sz w:val="48"/>
          <w:szCs w:val="48"/>
        </w:rPr>
        <w:t>Pavement</w:t>
      </w:r>
      <w:r w:rsidR="002D2CAE">
        <w:rPr>
          <w:rFonts w:ascii="Arial" w:hAnsi="Arial" w:cs="Arial"/>
          <w:sz w:val="48"/>
          <w:szCs w:val="48"/>
        </w:rPr>
        <w:t xml:space="preserve"> </w:t>
      </w:r>
      <w:r w:rsidR="00903FDF">
        <w:rPr>
          <w:rFonts w:ascii="Arial" w:hAnsi="Arial" w:cs="Arial"/>
          <w:sz w:val="48"/>
          <w:szCs w:val="48"/>
        </w:rPr>
        <w:t>Licence</w:t>
      </w:r>
    </w:p>
    <w:p w14:paraId="47993876" w14:textId="77777777" w:rsidR="00A1061D" w:rsidRPr="00A1061D" w:rsidRDefault="00A1061D" w:rsidP="00A1061D"/>
    <w:p w14:paraId="7A27362E" w14:textId="01A04715" w:rsidR="0047550D" w:rsidRDefault="0047550D" w:rsidP="0047550D">
      <w:pPr>
        <w:pStyle w:val="Heading1"/>
      </w:pPr>
      <w:r>
        <w:t>General</w:t>
      </w:r>
    </w:p>
    <w:p w14:paraId="591C506E" w14:textId="58108C29" w:rsidR="00AA0078" w:rsidRDefault="00050D14" w:rsidP="00903FDF">
      <w:pPr>
        <w:rPr>
          <w:rFonts w:ascii="Arial" w:hAnsi="Arial" w:cs="Arial"/>
        </w:rPr>
      </w:pPr>
      <w:r>
        <w:rPr>
          <w:rFonts w:ascii="Arial" w:hAnsi="Arial" w:cs="Arial"/>
        </w:rPr>
        <w:t xml:space="preserve">A </w:t>
      </w:r>
      <w:r w:rsidR="00903FDF">
        <w:rPr>
          <w:rFonts w:ascii="Arial" w:hAnsi="Arial" w:cs="Arial"/>
        </w:rPr>
        <w:t>pavement licence is a licence granted by the local authority which allows the licence-holder to place removable furniture over certain highways adjacent to the premises in relation to which the application was made, for certain purposes.</w:t>
      </w:r>
    </w:p>
    <w:p w14:paraId="14C3BCF6" w14:textId="4F86C98C" w:rsidR="00903FDF" w:rsidRDefault="00903FDF" w:rsidP="00903FDF">
      <w:pPr>
        <w:rPr>
          <w:rFonts w:ascii="Arial" w:hAnsi="Arial" w:cs="Arial"/>
        </w:rPr>
      </w:pPr>
      <w:r>
        <w:rPr>
          <w:rFonts w:ascii="Arial" w:hAnsi="Arial" w:cs="Arial"/>
        </w:rPr>
        <w:t>Licences that are granted should remain in place for such period as the local authority may specify in the licence, with a maximum limit of 2 years.</w:t>
      </w:r>
    </w:p>
    <w:p w14:paraId="77E97E44" w14:textId="2F80FEAB" w:rsidR="00A1061D" w:rsidRDefault="00903FDF" w:rsidP="00903FDF">
      <w:pPr>
        <w:rPr>
          <w:rFonts w:ascii="Arial" w:hAnsi="Arial" w:cs="Arial"/>
        </w:rPr>
      </w:pPr>
      <w:r>
        <w:rPr>
          <w:rFonts w:ascii="Arial" w:hAnsi="Arial" w:cs="Arial"/>
        </w:rPr>
        <w:t xml:space="preserve">Where a pavement licence is granted, clear access routes on the highway will need to be maintained, </w:t>
      </w:r>
      <w:proofErr w:type="gramStart"/>
      <w:r>
        <w:rPr>
          <w:rFonts w:ascii="Arial" w:hAnsi="Arial" w:cs="Arial"/>
        </w:rPr>
        <w:t>taking into account</w:t>
      </w:r>
      <w:proofErr w:type="gramEnd"/>
      <w:r>
        <w:rPr>
          <w:rFonts w:ascii="Arial" w:hAnsi="Arial" w:cs="Arial"/>
        </w:rPr>
        <w:t xml:space="preserve"> the needs of all users, including disabled people.</w:t>
      </w:r>
    </w:p>
    <w:p w14:paraId="7D2B34C7" w14:textId="696A7A7F" w:rsidR="00A1061D" w:rsidRDefault="00A1061D" w:rsidP="00903FDF">
      <w:pPr>
        <w:rPr>
          <w:rFonts w:ascii="Arial" w:hAnsi="Arial" w:cs="Arial"/>
        </w:rPr>
      </w:pPr>
      <w:r>
        <w:rPr>
          <w:rFonts w:ascii="Arial" w:hAnsi="Arial" w:cs="Arial"/>
        </w:rPr>
        <w:t>A pavement licence does not grant the right to permanently close a road. To do so, a pedestrian planning order is required.</w:t>
      </w:r>
    </w:p>
    <w:p w14:paraId="5E9C5973" w14:textId="195219E1" w:rsidR="00105F3A" w:rsidRDefault="00643424" w:rsidP="00105F3A">
      <w:pPr>
        <w:pStyle w:val="Heading1"/>
      </w:pPr>
      <w:r>
        <w:t>Fees &amp; Consultation Periods</w:t>
      </w:r>
    </w:p>
    <w:p w14:paraId="52035139" w14:textId="2A818A51" w:rsidR="000F25FC" w:rsidRDefault="00D009A6" w:rsidP="00E37B9F">
      <w:pPr>
        <w:rPr>
          <w:rFonts w:ascii="Arial" w:hAnsi="Arial" w:cs="Arial"/>
        </w:rPr>
      </w:pPr>
      <w:r>
        <w:rPr>
          <w:rFonts w:ascii="Arial" w:hAnsi="Arial" w:cs="Arial"/>
        </w:rPr>
        <w:t xml:space="preserve">The fee for applying for a licence is set by each local authority. Our most current list of fees and charges can be found at </w:t>
      </w:r>
      <w:hyperlink r:id="rId8" w:history="1">
        <w:r w:rsidRPr="00693E0E">
          <w:rPr>
            <w:rStyle w:val="Hyperlink"/>
            <w:rFonts w:ascii="Arial" w:hAnsi="Arial" w:cs="Arial"/>
          </w:rPr>
          <w:t>www.oldham.gov.uk/licensing</w:t>
        </w:r>
      </w:hyperlink>
      <w:r>
        <w:rPr>
          <w:rFonts w:ascii="Arial" w:hAnsi="Arial" w:cs="Arial"/>
        </w:rPr>
        <w:t xml:space="preserve">. </w:t>
      </w:r>
    </w:p>
    <w:p w14:paraId="1ED501F5" w14:textId="7D971D4D" w:rsidR="00D009A6" w:rsidRDefault="00D009A6" w:rsidP="00E37B9F">
      <w:pPr>
        <w:rPr>
          <w:rFonts w:ascii="Arial" w:hAnsi="Arial" w:cs="Arial"/>
        </w:rPr>
      </w:pPr>
      <w:r>
        <w:rPr>
          <w:rFonts w:ascii="Arial" w:hAnsi="Arial" w:cs="Arial"/>
        </w:rPr>
        <w:t>The public consultation period is 14 days (excluding public holidays). The first day starts the day after the complete application is sent electronically to the local authority.</w:t>
      </w:r>
      <w:r w:rsidR="00CD2827">
        <w:rPr>
          <w:rFonts w:ascii="Arial" w:hAnsi="Arial" w:cs="Arial"/>
        </w:rPr>
        <w:t xml:space="preserve"> </w:t>
      </w:r>
      <w:r w:rsidR="00CD2827" w:rsidRPr="00CD2827">
        <w:rPr>
          <w:rFonts w:ascii="Arial" w:hAnsi="Arial" w:cs="Arial"/>
        </w:rPr>
        <w:t>The applicant is required to affix a notice to the premises, so it is easily visible and legible to the public on the day they submit the application to the local authority. They must ensure the notice remains in place for the duration of the public consultation period. When counting ‘days’ public holidays are not included. Applicants are encouraged to keep evidence of this.</w:t>
      </w:r>
      <w:r w:rsidR="00CD2827">
        <w:rPr>
          <w:rFonts w:ascii="Arial" w:hAnsi="Arial" w:cs="Arial"/>
        </w:rPr>
        <w:t xml:space="preserve"> </w:t>
      </w:r>
      <w:r w:rsidR="00CD2827" w:rsidRPr="00CD2827">
        <w:rPr>
          <w:rFonts w:ascii="Arial" w:hAnsi="Arial" w:cs="Arial"/>
          <w:b/>
          <w:bCs/>
        </w:rPr>
        <w:t>The template to be used for the public notice can be found at the end of this form.</w:t>
      </w:r>
    </w:p>
    <w:p w14:paraId="66A3CCFA" w14:textId="34FB8097" w:rsidR="00A1061D" w:rsidRDefault="00D009A6" w:rsidP="00E37B9F">
      <w:pPr>
        <w:rPr>
          <w:rFonts w:ascii="Arial" w:hAnsi="Arial" w:cs="Arial"/>
        </w:rPr>
      </w:pPr>
      <w:r>
        <w:rPr>
          <w:rFonts w:ascii="Arial" w:hAnsi="Arial" w:cs="Arial"/>
        </w:rPr>
        <w:t xml:space="preserve">The local authority has a further 14 days following the public consultation to determine the application. </w:t>
      </w:r>
      <w:r w:rsidR="00A1061D">
        <w:rPr>
          <w:rFonts w:ascii="Arial" w:hAnsi="Arial" w:cs="Arial"/>
        </w:rPr>
        <w:t>If the local authority does not determine the application before the end of that period, the licence is deemed granted for a period of 2 years and the business can place the proposed furniture within the area set out in the application.</w:t>
      </w:r>
    </w:p>
    <w:p w14:paraId="149AA259" w14:textId="1E27974F" w:rsidR="00A1061D" w:rsidRDefault="00A1061D" w:rsidP="00A1061D">
      <w:pPr>
        <w:pStyle w:val="Heading1"/>
      </w:pPr>
      <w:r>
        <w:t>What businesses are eligible?</w:t>
      </w:r>
    </w:p>
    <w:p w14:paraId="44F32318" w14:textId="77777777" w:rsidR="00A1061D" w:rsidRPr="00A1061D" w:rsidRDefault="00A1061D" w:rsidP="00A1061D">
      <w:pPr>
        <w:rPr>
          <w:rFonts w:ascii="Arial" w:hAnsi="Arial" w:cs="Arial"/>
        </w:rPr>
      </w:pPr>
      <w:r w:rsidRPr="00A1061D">
        <w:rPr>
          <w:rFonts w:ascii="Arial" w:hAnsi="Arial" w:cs="Arial"/>
        </w:rPr>
        <w:t>A business which uses (or proposes to use) premises for the sale of food or drink for consumption (on or off the premises) can apply for a licence. Businesses that are eligible include: public houses, cafes, bars, restaurants, snack bars, coffee shops, and ice cream parlours including where such uses form an ancillary aspect of another use, for example supermarkets, or entertainment venues which sell food and drink.</w:t>
      </w:r>
    </w:p>
    <w:p w14:paraId="3E9632D9" w14:textId="77777777" w:rsidR="00A1061D" w:rsidRPr="00A1061D" w:rsidRDefault="00A1061D" w:rsidP="00A1061D">
      <w:pPr>
        <w:rPr>
          <w:rFonts w:ascii="Arial" w:hAnsi="Arial" w:cs="Arial"/>
        </w:rPr>
      </w:pPr>
      <w:r w:rsidRPr="00A1061D">
        <w:rPr>
          <w:rFonts w:ascii="Arial" w:hAnsi="Arial" w:cs="Arial"/>
        </w:rPr>
        <w:t>A licence permits the business to use furniture placed on the highway to sell or serve food or drink and/or allow it to be used by people for consumption of food or drink supplied from, or in connection with the use of the premises.</w:t>
      </w:r>
    </w:p>
    <w:p w14:paraId="23299496" w14:textId="77777777" w:rsidR="00A1061D" w:rsidRDefault="00A1061D" w:rsidP="00A1061D">
      <w:pPr>
        <w:rPr>
          <w:rFonts w:ascii="Arial" w:hAnsi="Arial" w:cs="Arial"/>
        </w:rPr>
      </w:pPr>
      <w:r w:rsidRPr="00A1061D">
        <w:rPr>
          <w:rFonts w:ascii="Arial" w:hAnsi="Arial" w:cs="Arial"/>
        </w:rPr>
        <w:lastRenderedPageBreak/>
        <w:t>Businesses that do not use their premises for the sale of food or drink, for example salons, are ineligible. Though they can apply for permission to place furniture on the pavement under the Highways Act 1980.</w:t>
      </w:r>
    </w:p>
    <w:p w14:paraId="4B6D4865" w14:textId="15F0A608" w:rsidR="00A1061D" w:rsidRDefault="00A1061D" w:rsidP="00A1061D">
      <w:pPr>
        <w:pStyle w:val="Heading1"/>
      </w:pPr>
      <w:r>
        <w:t>What furniture can be permitted by a licence?</w:t>
      </w:r>
    </w:p>
    <w:p w14:paraId="21427F76" w14:textId="77777777" w:rsidR="00A1061D" w:rsidRPr="00A1061D" w:rsidRDefault="00A1061D" w:rsidP="00A1061D">
      <w:pPr>
        <w:rPr>
          <w:rFonts w:ascii="Arial" w:hAnsi="Arial" w:cs="Arial"/>
          <w:lang w:eastAsia="en-GB"/>
        </w:rPr>
      </w:pPr>
      <w:r w:rsidRPr="00A1061D">
        <w:rPr>
          <w:rFonts w:ascii="Arial" w:hAnsi="Arial" w:cs="Arial"/>
          <w:lang w:eastAsia="en-GB"/>
        </w:rPr>
        <w:t>The furniture which may be placed on the pavement include:</w:t>
      </w:r>
    </w:p>
    <w:p w14:paraId="0F209887" w14:textId="77777777" w:rsidR="00A1061D" w:rsidRPr="00A1061D" w:rsidRDefault="00A1061D" w:rsidP="00A1061D">
      <w:pPr>
        <w:pStyle w:val="ListParagraph"/>
        <w:numPr>
          <w:ilvl w:val="0"/>
          <w:numId w:val="10"/>
        </w:numPr>
        <w:rPr>
          <w:rFonts w:ascii="Arial" w:hAnsi="Arial" w:cs="Arial"/>
          <w:lang w:eastAsia="en-GB"/>
        </w:rPr>
      </w:pPr>
      <w:r w:rsidRPr="00A1061D">
        <w:rPr>
          <w:rFonts w:ascii="Arial" w:hAnsi="Arial" w:cs="Arial"/>
          <w:lang w:eastAsia="en-GB"/>
        </w:rPr>
        <w:t xml:space="preserve">counters or stalls for selling or serving food or </w:t>
      </w:r>
      <w:proofErr w:type="gramStart"/>
      <w:r w:rsidRPr="00A1061D">
        <w:rPr>
          <w:rFonts w:ascii="Arial" w:hAnsi="Arial" w:cs="Arial"/>
          <w:lang w:eastAsia="en-GB"/>
        </w:rPr>
        <w:t>drink;</w:t>
      </w:r>
      <w:proofErr w:type="gramEnd"/>
    </w:p>
    <w:p w14:paraId="70883188" w14:textId="77777777" w:rsidR="00A1061D" w:rsidRPr="00A1061D" w:rsidRDefault="00A1061D" w:rsidP="00A1061D">
      <w:pPr>
        <w:pStyle w:val="ListParagraph"/>
        <w:numPr>
          <w:ilvl w:val="0"/>
          <w:numId w:val="10"/>
        </w:numPr>
        <w:rPr>
          <w:rFonts w:ascii="Arial" w:hAnsi="Arial" w:cs="Arial"/>
          <w:lang w:eastAsia="en-GB"/>
        </w:rPr>
      </w:pPr>
      <w:r w:rsidRPr="00A1061D">
        <w:rPr>
          <w:rFonts w:ascii="Arial" w:hAnsi="Arial" w:cs="Arial"/>
          <w:lang w:eastAsia="en-GB"/>
        </w:rPr>
        <w:t xml:space="preserve">tables, counters or shelves on which food or drink can be </w:t>
      </w:r>
      <w:proofErr w:type="gramStart"/>
      <w:r w:rsidRPr="00A1061D">
        <w:rPr>
          <w:rFonts w:ascii="Arial" w:hAnsi="Arial" w:cs="Arial"/>
          <w:lang w:eastAsia="en-GB"/>
        </w:rPr>
        <w:t>placed;</w:t>
      </w:r>
      <w:proofErr w:type="gramEnd"/>
    </w:p>
    <w:p w14:paraId="33E11AFA" w14:textId="77777777" w:rsidR="00A1061D" w:rsidRPr="00A1061D" w:rsidRDefault="00A1061D" w:rsidP="00A1061D">
      <w:pPr>
        <w:pStyle w:val="ListParagraph"/>
        <w:numPr>
          <w:ilvl w:val="0"/>
          <w:numId w:val="10"/>
        </w:numPr>
        <w:rPr>
          <w:rFonts w:ascii="Arial" w:hAnsi="Arial" w:cs="Arial"/>
          <w:lang w:eastAsia="en-GB"/>
        </w:rPr>
      </w:pPr>
      <w:r w:rsidRPr="00A1061D">
        <w:rPr>
          <w:rFonts w:ascii="Arial" w:hAnsi="Arial" w:cs="Arial"/>
          <w:lang w:eastAsia="en-GB"/>
        </w:rPr>
        <w:t>chairs, benches or other forms of seating; and</w:t>
      </w:r>
    </w:p>
    <w:p w14:paraId="5DD4CA4D" w14:textId="77777777" w:rsidR="00A1061D" w:rsidRPr="00A1061D" w:rsidRDefault="00A1061D" w:rsidP="00A1061D">
      <w:pPr>
        <w:pStyle w:val="ListParagraph"/>
        <w:numPr>
          <w:ilvl w:val="0"/>
          <w:numId w:val="10"/>
        </w:numPr>
        <w:rPr>
          <w:rFonts w:ascii="Arial" w:hAnsi="Arial" w:cs="Arial"/>
          <w:lang w:eastAsia="en-GB"/>
        </w:rPr>
      </w:pPr>
      <w:r w:rsidRPr="00A1061D">
        <w:rPr>
          <w:rFonts w:ascii="Arial" w:hAnsi="Arial" w:cs="Arial"/>
          <w:lang w:eastAsia="en-GB"/>
        </w:rPr>
        <w:t>umbrellas, barriers, heaters and other articles used in connection with the outdoor consumption of food or drink.</w:t>
      </w:r>
    </w:p>
    <w:p w14:paraId="4761D1E0" w14:textId="17CEFF12" w:rsidR="00A1061D" w:rsidRPr="00A1061D" w:rsidRDefault="00A1061D" w:rsidP="00A1061D">
      <w:pPr>
        <w:rPr>
          <w:rFonts w:ascii="Arial" w:hAnsi="Arial" w:cs="Arial"/>
          <w:lang w:eastAsia="en-GB"/>
        </w:rPr>
      </w:pPr>
      <w:r w:rsidRPr="00A1061D">
        <w:rPr>
          <w:rFonts w:ascii="Arial" w:hAnsi="Arial" w:cs="Arial"/>
          <w:lang w:eastAsia="en-GB"/>
        </w:rPr>
        <w:t xml:space="preserve">This furniture is required to be removable and related to the serving, sale and consumption of food or drink. </w:t>
      </w:r>
      <w:r>
        <w:rPr>
          <w:rFonts w:ascii="Arial" w:hAnsi="Arial" w:cs="Arial"/>
          <w:lang w:eastAsia="en-GB"/>
        </w:rPr>
        <w:t>W</w:t>
      </w:r>
      <w:r w:rsidRPr="00A1061D">
        <w:rPr>
          <w:rFonts w:ascii="Arial" w:hAnsi="Arial" w:cs="Arial"/>
          <w:lang w:eastAsia="en-GB"/>
        </w:rPr>
        <w:t>hen determining what is ‘removable’ in principle this means it is not a permanent fixed structure, and is able to be moved easily, and stored away at night.</w:t>
      </w:r>
    </w:p>
    <w:p w14:paraId="627E8A5B" w14:textId="5FA60C8E" w:rsidR="00A1061D" w:rsidRDefault="00A1061D" w:rsidP="00A1061D">
      <w:pPr>
        <w:pStyle w:val="Heading1"/>
      </w:pPr>
      <w:r>
        <w:t>How does this interact with alcohol licensing?</w:t>
      </w:r>
    </w:p>
    <w:p w14:paraId="525C536A" w14:textId="642F9B7A" w:rsidR="00A1061D" w:rsidRPr="00A1061D" w:rsidRDefault="00A1061D" w:rsidP="00A1061D">
      <w:pPr>
        <w:rPr>
          <w:rFonts w:ascii="Arial" w:hAnsi="Arial" w:cs="Arial"/>
        </w:rPr>
      </w:pPr>
      <w:r w:rsidRPr="00A1061D">
        <w:rPr>
          <w:rFonts w:ascii="Arial" w:hAnsi="Arial" w:cs="Arial"/>
          <w:shd w:val="clear" w:color="auto" w:fill="FFFFFF"/>
        </w:rPr>
        <w:t>It is important to note the grant of a pavement licence only permits the placing of furniture on the highway. A pavement licence does not negate the need to obtain approvals under other regulatory frameworks, such as the need for a licence to sell alcohol, and the need to comply with registration requirements for food businesses.</w:t>
      </w:r>
    </w:p>
    <w:p w14:paraId="335D65E5" w14:textId="346A1C3F" w:rsidR="00050D14" w:rsidRDefault="00643424" w:rsidP="009E7262">
      <w:pPr>
        <w:pStyle w:val="Heading1"/>
      </w:pPr>
      <w:r>
        <w:t>What is reasonable provision for seating where smoking is not permitted?</w:t>
      </w:r>
    </w:p>
    <w:p w14:paraId="49E97143" w14:textId="77777777" w:rsidR="00643424" w:rsidRPr="00643424" w:rsidRDefault="00643424" w:rsidP="00643424">
      <w:pPr>
        <w:rPr>
          <w:rFonts w:ascii="Arial" w:hAnsi="Arial" w:cs="Arial"/>
          <w:lang w:eastAsia="en-GB"/>
        </w:rPr>
      </w:pPr>
      <w:r w:rsidRPr="00643424">
        <w:rPr>
          <w:rFonts w:ascii="Arial" w:hAnsi="Arial" w:cs="Arial"/>
          <w:lang w:eastAsia="en-GB"/>
        </w:rPr>
        <w:t xml:space="preserve">The national smoke-free seating condition seeks to ensure customers have greater choice, so that both smokers and non-smokers </w:t>
      </w:r>
      <w:proofErr w:type="gramStart"/>
      <w:r w:rsidRPr="00643424">
        <w:rPr>
          <w:rFonts w:ascii="Arial" w:hAnsi="Arial" w:cs="Arial"/>
          <w:lang w:eastAsia="en-GB"/>
        </w:rPr>
        <w:t>are able to</w:t>
      </w:r>
      <w:proofErr w:type="gramEnd"/>
      <w:r w:rsidRPr="00643424">
        <w:rPr>
          <w:rFonts w:ascii="Arial" w:hAnsi="Arial" w:cs="Arial"/>
          <w:lang w:eastAsia="en-GB"/>
        </w:rPr>
        <w:t xml:space="preserve"> sit outside.</w:t>
      </w:r>
    </w:p>
    <w:p w14:paraId="1BAB03B0" w14:textId="77777777" w:rsidR="00643424" w:rsidRPr="00643424" w:rsidRDefault="00643424" w:rsidP="00643424">
      <w:pPr>
        <w:rPr>
          <w:rFonts w:ascii="Arial" w:hAnsi="Arial" w:cs="Arial"/>
          <w:lang w:eastAsia="en-GB"/>
        </w:rPr>
      </w:pPr>
      <w:r w:rsidRPr="00643424">
        <w:rPr>
          <w:rFonts w:ascii="Arial" w:hAnsi="Arial" w:cs="Arial"/>
          <w:lang w:eastAsia="en-GB"/>
        </w:rPr>
        <w:t>It is important that businesses can cater to their customers’ preferences. The Business and Planning Act 2020 imposes a smoke-free seating condition in relation to licences where seating used for the purpose of consuming food or drink has been, (or is to be) placed on the relevant highway. The condition requires a licence-holder to make reasonable provision for seating where smoking is not permitted. This means that where businesses provide for smokers, customers will also have the option of sitting in a non-smoking area. Ways of meeting this condition could include:</w:t>
      </w:r>
    </w:p>
    <w:p w14:paraId="0AB94371" w14:textId="77777777" w:rsidR="00643424" w:rsidRPr="00643424" w:rsidRDefault="00643424" w:rsidP="00643424">
      <w:pPr>
        <w:rPr>
          <w:rFonts w:ascii="Arial" w:hAnsi="Arial" w:cs="Arial"/>
          <w:lang w:eastAsia="en-GB"/>
        </w:rPr>
      </w:pPr>
      <w:r w:rsidRPr="00643424">
        <w:rPr>
          <w:rFonts w:ascii="Arial" w:hAnsi="Arial" w:cs="Arial"/>
          <w:lang w:eastAsia="en-GB"/>
        </w:rPr>
        <w:t>Clear ‘smoking’ and ‘non-smoking’ areas, with ‘no smoking’ signage displayed in designated ‘smoke-free’ zones in accordance with Smoke-free (Signs) Regulations 2012.</w:t>
      </w:r>
    </w:p>
    <w:p w14:paraId="005D0AFD" w14:textId="77777777" w:rsidR="00643424" w:rsidRPr="00643424" w:rsidRDefault="00643424" w:rsidP="00643424">
      <w:pPr>
        <w:rPr>
          <w:rFonts w:ascii="Arial" w:hAnsi="Arial" w:cs="Arial"/>
          <w:lang w:eastAsia="en-GB"/>
        </w:rPr>
      </w:pPr>
      <w:r w:rsidRPr="00643424">
        <w:rPr>
          <w:rFonts w:ascii="Arial" w:hAnsi="Arial" w:cs="Arial"/>
          <w:lang w:eastAsia="en-GB"/>
        </w:rPr>
        <w:t>No ash trays or similar receptacles to be provided or permitted to be left on furniture where smoke-free seating is identified.</w:t>
      </w:r>
    </w:p>
    <w:p w14:paraId="0C7B4396" w14:textId="77777777" w:rsidR="00643424" w:rsidRPr="00643424" w:rsidRDefault="00643424" w:rsidP="00643424">
      <w:pPr>
        <w:rPr>
          <w:rFonts w:ascii="Arial" w:hAnsi="Arial" w:cs="Arial"/>
          <w:lang w:eastAsia="en-GB"/>
        </w:rPr>
      </w:pPr>
      <w:r w:rsidRPr="00643424">
        <w:rPr>
          <w:rFonts w:ascii="Arial" w:hAnsi="Arial" w:cs="Arial"/>
          <w:lang w:eastAsia="en-GB"/>
        </w:rPr>
        <w:t>Licence holders should provide a minimum 2m distance between non-smoking and smoking areas, wherever possible.</w:t>
      </w:r>
    </w:p>
    <w:p w14:paraId="6FDC8365" w14:textId="77777777" w:rsidR="00643424" w:rsidRPr="00643424" w:rsidRDefault="00643424" w:rsidP="00643424">
      <w:pPr>
        <w:rPr>
          <w:sz w:val="24"/>
          <w:szCs w:val="24"/>
          <w:lang w:eastAsia="en-GB"/>
        </w:rPr>
      </w:pPr>
      <w:r w:rsidRPr="00643424">
        <w:rPr>
          <w:rFonts w:ascii="Arial" w:hAnsi="Arial" w:cs="Arial"/>
          <w:lang w:eastAsia="en-GB"/>
        </w:rPr>
        <w:t>Further, business must continue to have regard to smoke-free legislation under The Health Act 2006, and the subsequent Smoke-free (Premises and Enforcement) Regulations 2006.</w:t>
      </w:r>
    </w:p>
    <w:p w14:paraId="06B9F62E" w14:textId="1E74BE36" w:rsidR="0047550D" w:rsidRDefault="00643424" w:rsidP="00105F3A">
      <w:pPr>
        <w:pStyle w:val="Heading1"/>
      </w:pPr>
      <w:r>
        <w:lastRenderedPageBreak/>
        <w:t>What will the local authority consider when deciding whether to grant a pavement licence?</w:t>
      </w:r>
    </w:p>
    <w:p w14:paraId="5BF20AA0" w14:textId="77777777" w:rsidR="00B16DD7" w:rsidRPr="00B16DD7" w:rsidRDefault="00B16DD7" w:rsidP="00B16DD7">
      <w:pPr>
        <w:rPr>
          <w:rFonts w:ascii="Arial" w:hAnsi="Arial" w:cs="Arial"/>
          <w:lang w:eastAsia="en-GB"/>
        </w:rPr>
      </w:pPr>
      <w:r w:rsidRPr="00B16DD7">
        <w:rPr>
          <w:rFonts w:ascii="Arial" w:hAnsi="Arial" w:cs="Arial"/>
          <w:lang w:eastAsia="en-GB"/>
        </w:rPr>
        <w:t xml:space="preserve">The local authority will need to consider </w:t>
      </w:r>
      <w:proofErr w:type="gramStart"/>
      <w:r w:rsidRPr="00B16DD7">
        <w:rPr>
          <w:rFonts w:ascii="Arial" w:hAnsi="Arial" w:cs="Arial"/>
          <w:lang w:eastAsia="en-GB"/>
        </w:rPr>
        <w:t>a number of</w:t>
      </w:r>
      <w:proofErr w:type="gramEnd"/>
      <w:r w:rsidRPr="00B16DD7">
        <w:rPr>
          <w:rFonts w:ascii="Arial" w:hAnsi="Arial" w:cs="Arial"/>
          <w:lang w:eastAsia="en-GB"/>
        </w:rPr>
        <w:t xml:space="preserve"> factors, when determining whether to approve the application. These include whether local conditions might be needed to make it possible to approve an application which would otherwise be unacceptable.</w:t>
      </w:r>
    </w:p>
    <w:p w14:paraId="6F8E89BE" w14:textId="77777777" w:rsidR="00B16DD7" w:rsidRPr="00B16DD7" w:rsidRDefault="00B16DD7" w:rsidP="00B16DD7">
      <w:pPr>
        <w:rPr>
          <w:rFonts w:ascii="Arial" w:hAnsi="Arial" w:cs="Arial"/>
          <w:lang w:eastAsia="en-GB"/>
        </w:rPr>
      </w:pPr>
      <w:r w:rsidRPr="00B16DD7">
        <w:rPr>
          <w:rFonts w:ascii="Arial" w:hAnsi="Arial" w:cs="Arial"/>
          <w:lang w:eastAsia="en-GB"/>
        </w:rPr>
        <w:t>The Secretary of State may specify conditions for pavement licences, in Regulations (although to date there has not been a need to do so). This is in addition to the statutory ‘no obstruction’ condition referred to in sections 5(4) and 3(6) of the Business and Planning Act 2020 Act and ‘smoke-free’ seating condition.</w:t>
      </w:r>
    </w:p>
    <w:p w14:paraId="4A473443" w14:textId="77777777" w:rsidR="00B16DD7" w:rsidRPr="00B16DD7" w:rsidRDefault="00B16DD7" w:rsidP="00B16DD7">
      <w:pPr>
        <w:rPr>
          <w:rFonts w:ascii="Arial" w:hAnsi="Arial" w:cs="Arial"/>
          <w:lang w:eastAsia="en-GB"/>
        </w:rPr>
      </w:pPr>
      <w:r w:rsidRPr="00B16DD7">
        <w:rPr>
          <w:rFonts w:ascii="Arial" w:hAnsi="Arial" w:cs="Arial"/>
          <w:lang w:eastAsia="en-GB"/>
        </w:rPr>
        <w:t xml:space="preserve">Authorities are encouraged to publish local conditions subject to which they propose to grant pavement licences so that applicants and those making representations are aware of them. When considering their powers in relation to local conditions they should bear in mind the requirements of the no-obstruction condition and the smoke-free seating condition. They should also </w:t>
      </w:r>
      <w:proofErr w:type="gramStart"/>
      <w:r w:rsidRPr="00B16DD7">
        <w:rPr>
          <w:rFonts w:ascii="Arial" w:hAnsi="Arial" w:cs="Arial"/>
          <w:lang w:eastAsia="en-GB"/>
        </w:rPr>
        <w:t>take into account</w:t>
      </w:r>
      <w:proofErr w:type="gramEnd"/>
      <w:r w:rsidRPr="00B16DD7">
        <w:rPr>
          <w:rFonts w:ascii="Arial" w:hAnsi="Arial" w:cs="Arial"/>
          <w:lang w:eastAsia="en-GB"/>
        </w:rPr>
        <w:t xml:space="preserve"> any national conditions which may be specified in the future in Regulations.</w:t>
      </w:r>
    </w:p>
    <w:p w14:paraId="28ACBA18" w14:textId="072018CA" w:rsidR="00B16DD7" w:rsidRPr="00B16DD7" w:rsidRDefault="00B16DD7" w:rsidP="00B16DD7">
      <w:pPr>
        <w:rPr>
          <w:rFonts w:ascii="Arial" w:hAnsi="Arial" w:cs="Arial"/>
          <w:lang w:eastAsia="en-GB"/>
        </w:rPr>
      </w:pPr>
      <w:r w:rsidRPr="00B16DD7">
        <w:rPr>
          <w:rFonts w:ascii="Arial" w:hAnsi="Arial" w:cs="Arial"/>
          <w:lang w:eastAsia="en-GB"/>
        </w:rPr>
        <w:t>When setting local conditions and determining applications, authorities will also want to consider:</w:t>
      </w:r>
    </w:p>
    <w:p w14:paraId="056BF6B3"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 xml:space="preserve">public health and safety including security – for example, any reasonable crowd management measures needed as a result of a licence being </w:t>
      </w:r>
      <w:proofErr w:type="gramStart"/>
      <w:r w:rsidRPr="00B16DD7">
        <w:rPr>
          <w:rFonts w:ascii="Arial" w:hAnsi="Arial" w:cs="Arial"/>
          <w:lang w:eastAsia="en-GB"/>
        </w:rPr>
        <w:t>granted;</w:t>
      </w:r>
      <w:proofErr w:type="gramEnd"/>
    </w:p>
    <w:p w14:paraId="19E3EB8D"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 xml:space="preserve">public amenity – will the proposed use create nuisance to neighbouring occupiers by generating anti-social behaviour, and </w:t>
      </w:r>
      <w:proofErr w:type="gramStart"/>
      <w:r w:rsidRPr="00B16DD7">
        <w:rPr>
          <w:rFonts w:ascii="Arial" w:hAnsi="Arial" w:cs="Arial"/>
          <w:lang w:eastAsia="en-GB"/>
        </w:rPr>
        <w:t>litter;</w:t>
      </w:r>
      <w:proofErr w:type="gramEnd"/>
    </w:p>
    <w:p w14:paraId="57D02E61"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accessibility – taking a proportionate approach to considering the nature of the site in relation to which the application for a licence is made, its surroundings, and its users, taking account of:</w:t>
      </w:r>
    </w:p>
    <w:p w14:paraId="689014E1"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 xml:space="preserve">considerations under the no-obstruction condition including the cumulative impact of multiple pavement licences in </w:t>
      </w:r>
      <w:proofErr w:type="gramStart"/>
      <w:r w:rsidRPr="00B16DD7">
        <w:rPr>
          <w:rFonts w:ascii="Arial" w:hAnsi="Arial" w:cs="Arial"/>
          <w:lang w:eastAsia="en-GB"/>
        </w:rPr>
        <w:t>close proximity</w:t>
      </w:r>
      <w:proofErr w:type="gramEnd"/>
      <w:r w:rsidRPr="00B16DD7">
        <w:rPr>
          <w:rFonts w:ascii="Arial" w:hAnsi="Arial" w:cs="Arial"/>
          <w:lang w:eastAsia="en-GB"/>
        </w:rPr>
        <w:t>, in particular considering the needs of disabled people</w:t>
      </w:r>
    </w:p>
    <w:p w14:paraId="7A7DED2D"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 xml:space="preserve">any other temporary measures in place that may be relevant to the proposal, for example, the reallocation of road space. This could include pedestrianised streets and any subsequent reallocation of this space to </w:t>
      </w:r>
      <w:proofErr w:type="gramStart"/>
      <w:r w:rsidRPr="00B16DD7">
        <w:rPr>
          <w:rFonts w:ascii="Arial" w:hAnsi="Arial" w:cs="Arial"/>
          <w:lang w:eastAsia="en-GB"/>
        </w:rPr>
        <w:t>vehicles;</w:t>
      </w:r>
      <w:proofErr w:type="gramEnd"/>
    </w:p>
    <w:p w14:paraId="4C00D7B3"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whether there are other permanent street furniture or fixed structures in place on the footway that already reduce access; and</w:t>
      </w:r>
    </w:p>
    <w:p w14:paraId="575FCDB6" w14:textId="77777777" w:rsidR="00B16DD7" w:rsidRPr="00B16DD7" w:rsidRDefault="00B16DD7" w:rsidP="00B16DD7">
      <w:pPr>
        <w:pStyle w:val="ListParagraph"/>
        <w:numPr>
          <w:ilvl w:val="0"/>
          <w:numId w:val="13"/>
        </w:numPr>
        <w:rPr>
          <w:rFonts w:ascii="Arial" w:hAnsi="Arial" w:cs="Arial"/>
          <w:lang w:eastAsia="en-GB"/>
        </w:rPr>
      </w:pPr>
      <w:r w:rsidRPr="00B16DD7">
        <w:rPr>
          <w:rFonts w:ascii="Arial" w:hAnsi="Arial" w:cs="Arial"/>
          <w:lang w:eastAsia="en-GB"/>
        </w:rPr>
        <w:t>other users of the space, for example if there are high levels of pedestrian or cycle movements.</w:t>
      </w:r>
    </w:p>
    <w:p w14:paraId="67531B07" w14:textId="0FDDD32D" w:rsidR="00CD2827" w:rsidRDefault="00CD2827" w:rsidP="00CD2827">
      <w:pPr>
        <w:pStyle w:val="Heading1"/>
      </w:pPr>
      <w:r>
        <w:t>What are the outcomes of an application?</w:t>
      </w:r>
    </w:p>
    <w:p w14:paraId="6739394D" w14:textId="77777777" w:rsidR="00CD2827" w:rsidRPr="00CD2827" w:rsidRDefault="00CD2827" w:rsidP="00CD2827">
      <w:pPr>
        <w:rPr>
          <w:rFonts w:ascii="Arial" w:hAnsi="Arial" w:cs="Arial"/>
        </w:rPr>
      </w:pPr>
      <w:r w:rsidRPr="00CD2827">
        <w:rPr>
          <w:rFonts w:ascii="Arial" w:hAnsi="Arial" w:cs="Arial"/>
        </w:rPr>
        <w:t>If the local authority determines the application before the end of the determination period, the local authority can:</w:t>
      </w:r>
    </w:p>
    <w:p w14:paraId="19581CDC" w14:textId="77777777" w:rsidR="00CD2827" w:rsidRPr="00CD2827" w:rsidRDefault="00CD2827" w:rsidP="00CD2827">
      <w:pPr>
        <w:pStyle w:val="ListParagraph"/>
        <w:numPr>
          <w:ilvl w:val="0"/>
          <w:numId w:val="15"/>
        </w:numPr>
        <w:rPr>
          <w:rFonts w:ascii="Arial" w:hAnsi="Arial" w:cs="Arial"/>
        </w:rPr>
      </w:pPr>
      <w:r w:rsidRPr="00CD2827">
        <w:rPr>
          <w:rFonts w:ascii="Arial" w:hAnsi="Arial" w:cs="Arial"/>
        </w:rPr>
        <w:t xml:space="preserve">grant the licence in respect of any or </w:t>
      </w:r>
      <w:proofErr w:type="gramStart"/>
      <w:r w:rsidRPr="00CD2827">
        <w:rPr>
          <w:rFonts w:ascii="Arial" w:hAnsi="Arial" w:cs="Arial"/>
        </w:rPr>
        <w:t>all of</w:t>
      </w:r>
      <w:proofErr w:type="gramEnd"/>
      <w:r w:rsidRPr="00CD2827">
        <w:rPr>
          <w:rFonts w:ascii="Arial" w:hAnsi="Arial" w:cs="Arial"/>
        </w:rPr>
        <w:t xml:space="preserve"> the purposes specified in the application,</w:t>
      </w:r>
    </w:p>
    <w:p w14:paraId="6457EE40" w14:textId="77777777" w:rsidR="00CD2827" w:rsidRPr="00CD2827" w:rsidRDefault="00CD2827" w:rsidP="00CD2827">
      <w:pPr>
        <w:pStyle w:val="ListParagraph"/>
        <w:numPr>
          <w:ilvl w:val="0"/>
          <w:numId w:val="15"/>
        </w:numPr>
        <w:rPr>
          <w:rFonts w:ascii="Arial" w:hAnsi="Arial" w:cs="Arial"/>
        </w:rPr>
      </w:pPr>
      <w:r w:rsidRPr="00CD2827">
        <w:rPr>
          <w:rFonts w:ascii="Arial" w:hAnsi="Arial" w:cs="Arial"/>
        </w:rPr>
        <w:t xml:space="preserve">grant the licence for some or </w:t>
      </w:r>
      <w:proofErr w:type="gramStart"/>
      <w:r w:rsidRPr="00CD2827">
        <w:rPr>
          <w:rFonts w:ascii="Arial" w:hAnsi="Arial" w:cs="Arial"/>
        </w:rPr>
        <w:t>all of</w:t>
      </w:r>
      <w:proofErr w:type="gramEnd"/>
      <w:r w:rsidRPr="00CD2827">
        <w:rPr>
          <w:rFonts w:ascii="Arial" w:hAnsi="Arial" w:cs="Arial"/>
        </w:rPr>
        <w:t xml:space="preserve"> the part of the highway specified in the application, and impose conditions, or</w:t>
      </w:r>
    </w:p>
    <w:p w14:paraId="1C5BEE49" w14:textId="77777777" w:rsidR="00CD2827" w:rsidRPr="00CD2827" w:rsidRDefault="00CD2827" w:rsidP="00CD2827">
      <w:pPr>
        <w:pStyle w:val="ListParagraph"/>
        <w:numPr>
          <w:ilvl w:val="0"/>
          <w:numId w:val="15"/>
        </w:numPr>
        <w:rPr>
          <w:rFonts w:ascii="Arial" w:hAnsi="Arial" w:cs="Arial"/>
        </w:rPr>
      </w:pPr>
      <w:r w:rsidRPr="00CD2827">
        <w:rPr>
          <w:rFonts w:ascii="Arial" w:hAnsi="Arial" w:cs="Arial"/>
        </w:rPr>
        <w:t>refuse the application.</w:t>
      </w:r>
    </w:p>
    <w:p w14:paraId="3748D3E8" w14:textId="7E3C2706" w:rsidR="003E37C9" w:rsidRDefault="003E37C9" w:rsidP="003E37C9">
      <w:pPr>
        <w:rPr>
          <w:rFonts w:ascii="Arial" w:hAnsi="Arial" w:cs="Arial"/>
        </w:rPr>
      </w:pPr>
    </w:p>
    <w:p w14:paraId="1D16BA45" w14:textId="7AA8CE17" w:rsidR="00105F3A" w:rsidRPr="00026B51" w:rsidRDefault="00105F3A" w:rsidP="00026B51">
      <w:pPr>
        <w:pStyle w:val="Heading1"/>
      </w:pPr>
      <w:r w:rsidRPr="00026B51">
        <w:lastRenderedPageBreak/>
        <w:t>Useful contact information/links:</w:t>
      </w:r>
    </w:p>
    <w:p w14:paraId="2DCAA601" w14:textId="3F4F4960" w:rsidR="00026B51" w:rsidRDefault="00026B51" w:rsidP="00105F3A">
      <w:pPr>
        <w:rPr>
          <w:rFonts w:ascii="Arial" w:hAnsi="Arial" w:cs="Arial"/>
        </w:rPr>
      </w:pPr>
      <w:r>
        <w:rPr>
          <w:rFonts w:ascii="Arial" w:hAnsi="Arial" w:cs="Arial"/>
        </w:rPr>
        <w:t xml:space="preserve">The Licensing Service receive applications </w:t>
      </w:r>
      <w:r w:rsidR="00CD62A3">
        <w:rPr>
          <w:rFonts w:ascii="Arial" w:hAnsi="Arial" w:cs="Arial"/>
        </w:rPr>
        <w:t xml:space="preserve">online </w:t>
      </w:r>
      <w:r>
        <w:rPr>
          <w:rFonts w:ascii="Arial" w:hAnsi="Arial" w:cs="Arial"/>
        </w:rPr>
        <w:t>and respond</w:t>
      </w:r>
      <w:r w:rsidR="00CD62A3">
        <w:rPr>
          <w:rFonts w:ascii="Arial" w:hAnsi="Arial" w:cs="Arial"/>
        </w:rPr>
        <w:t>s</w:t>
      </w:r>
      <w:r>
        <w:rPr>
          <w:rFonts w:ascii="Arial" w:hAnsi="Arial" w:cs="Arial"/>
        </w:rPr>
        <w:t xml:space="preserve"> to queries by email. You can contact a member of the team at </w:t>
      </w:r>
      <w:hyperlink r:id="rId9" w:history="1">
        <w:r w:rsidR="00CD62A3" w:rsidRPr="00693E0E">
          <w:rPr>
            <w:rStyle w:val="Hyperlink"/>
            <w:rFonts w:ascii="Arial" w:hAnsi="Arial" w:cs="Arial"/>
          </w:rPr>
          <w:t>licensing@oldham.gov.uk</w:t>
        </w:r>
      </w:hyperlink>
      <w:r w:rsidR="00CD62A3">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0" w:history="1">
        <w:r w:rsidRPr="000D598A">
          <w:rPr>
            <w:rStyle w:val="Hyperlink"/>
            <w:rFonts w:ascii="Arial" w:hAnsi="Arial" w:cs="Arial"/>
          </w:rPr>
          <w:t>www.oldham.gov.uk/licensing</w:t>
        </w:r>
      </w:hyperlink>
      <w:r>
        <w:rPr>
          <w:rFonts w:ascii="Arial" w:hAnsi="Arial" w:cs="Arial"/>
        </w:rPr>
        <w:t xml:space="preserve">. </w:t>
      </w:r>
    </w:p>
    <w:p w14:paraId="46E77B3E" w14:textId="676AB247" w:rsidR="00105F3A" w:rsidRDefault="00105F3A" w:rsidP="00105F3A">
      <w:pPr>
        <w:rPr>
          <w:rFonts w:ascii="Arial" w:hAnsi="Arial" w:cs="Arial"/>
        </w:rPr>
      </w:pPr>
      <w:r>
        <w:rPr>
          <w:rFonts w:ascii="Arial" w:hAnsi="Arial" w:cs="Arial"/>
        </w:rPr>
        <w:t xml:space="preserve">The </w:t>
      </w:r>
      <w:r w:rsidR="00CD62A3">
        <w:rPr>
          <w:rFonts w:ascii="Arial" w:hAnsi="Arial" w:cs="Arial"/>
        </w:rPr>
        <w:t>Business &amp; Planning Act 2020</w:t>
      </w:r>
      <w:r>
        <w:rPr>
          <w:rFonts w:ascii="Arial" w:hAnsi="Arial" w:cs="Arial"/>
        </w:rPr>
        <w:t xml:space="preserve"> can be found online at </w:t>
      </w:r>
      <w:hyperlink r:id="rId11" w:history="1">
        <w:r w:rsidR="00CD62A3" w:rsidRPr="00CD62A3">
          <w:rPr>
            <w:rStyle w:val="Hyperlink"/>
            <w:rFonts w:ascii="Arial" w:hAnsi="Arial" w:cs="Arial"/>
          </w:rPr>
          <w:t>Business and Planning Act 2020 (legislation.gov.uk)</w:t>
        </w:r>
      </w:hyperlink>
    </w:p>
    <w:p w14:paraId="218DA8A5" w14:textId="76B1EB6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2" w:history="1">
        <w:r w:rsidR="00CD62A3" w:rsidRPr="00CD62A3">
          <w:rPr>
            <w:rStyle w:val="Hyperlink"/>
            <w:rFonts w:ascii="Arial" w:hAnsi="Arial" w:cs="Arial"/>
          </w:rPr>
          <w:t>Pavement licences: guidance - GOV.UK (www.gov.uk)</w:t>
        </w:r>
      </w:hyperlink>
    </w:p>
    <w:p w14:paraId="7250669C" w14:textId="0FCA24AE" w:rsidR="00026B51" w:rsidRDefault="00026B51" w:rsidP="00105F3A">
      <w:pPr>
        <w:rPr>
          <w:rFonts w:ascii="Arial" w:hAnsi="Arial" w:cs="Arial"/>
        </w:rPr>
      </w:pPr>
    </w:p>
    <w:p w14:paraId="6A82E111" w14:textId="77777777" w:rsidR="00CD62A3" w:rsidRDefault="00CD62A3" w:rsidP="00CD62A3">
      <w:pPr>
        <w:jc w:val="center"/>
        <w:rPr>
          <w:rFonts w:ascii="Arial" w:eastAsia="Arial" w:hAnsi="Arial" w:cs="Arial"/>
          <w:b/>
          <w:bCs/>
          <w:color w:val="000000" w:themeColor="text1"/>
          <w:sz w:val="40"/>
          <w:szCs w:val="40"/>
        </w:rPr>
      </w:pPr>
    </w:p>
    <w:p w14:paraId="5991F7A6" w14:textId="77777777" w:rsidR="00CD62A3" w:rsidRDefault="00CD62A3" w:rsidP="00CD62A3">
      <w:pPr>
        <w:jc w:val="center"/>
        <w:rPr>
          <w:rFonts w:ascii="Arial" w:eastAsia="Arial" w:hAnsi="Arial" w:cs="Arial"/>
          <w:b/>
          <w:bCs/>
          <w:color w:val="000000" w:themeColor="text1"/>
          <w:sz w:val="40"/>
          <w:szCs w:val="40"/>
        </w:rPr>
      </w:pPr>
    </w:p>
    <w:p w14:paraId="72FF6B19" w14:textId="77777777" w:rsidR="00CD62A3" w:rsidRDefault="00CD62A3" w:rsidP="00CD62A3">
      <w:pPr>
        <w:jc w:val="center"/>
        <w:rPr>
          <w:rFonts w:ascii="Arial" w:eastAsia="Arial" w:hAnsi="Arial" w:cs="Arial"/>
          <w:b/>
          <w:bCs/>
          <w:color w:val="000000" w:themeColor="text1"/>
          <w:sz w:val="40"/>
          <w:szCs w:val="40"/>
        </w:rPr>
      </w:pPr>
    </w:p>
    <w:p w14:paraId="1F337B22" w14:textId="77777777" w:rsidR="00CD62A3" w:rsidRDefault="00CD62A3" w:rsidP="00CD62A3">
      <w:pPr>
        <w:jc w:val="center"/>
        <w:rPr>
          <w:rFonts w:ascii="Arial" w:eastAsia="Arial" w:hAnsi="Arial" w:cs="Arial"/>
          <w:b/>
          <w:bCs/>
          <w:color w:val="000000" w:themeColor="text1"/>
          <w:sz w:val="40"/>
          <w:szCs w:val="40"/>
        </w:rPr>
      </w:pPr>
    </w:p>
    <w:p w14:paraId="5BCBFF81" w14:textId="77777777" w:rsidR="00CD62A3" w:rsidRDefault="00CD62A3" w:rsidP="00CD62A3">
      <w:pPr>
        <w:jc w:val="center"/>
        <w:rPr>
          <w:rFonts w:ascii="Arial" w:eastAsia="Arial" w:hAnsi="Arial" w:cs="Arial"/>
          <w:b/>
          <w:bCs/>
          <w:color w:val="000000" w:themeColor="text1"/>
          <w:sz w:val="40"/>
          <w:szCs w:val="40"/>
        </w:rPr>
      </w:pPr>
    </w:p>
    <w:p w14:paraId="2E2E8023" w14:textId="77777777" w:rsidR="00CD62A3" w:rsidRDefault="00CD62A3" w:rsidP="00CD62A3">
      <w:pPr>
        <w:jc w:val="center"/>
        <w:rPr>
          <w:rFonts w:ascii="Arial" w:eastAsia="Arial" w:hAnsi="Arial" w:cs="Arial"/>
          <w:b/>
          <w:bCs/>
          <w:color w:val="000000" w:themeColor="text1"/>
          <w:sz w:val="40"/>
          <w:szCs w:val="40"/>
        </w:rPr>
      </w:pPr>
    </w:p>
    <w:p w14:paraId="37F0E9A1" w14:textId="77777777" w:rsidR="00CD62A3" w:rsidRDefault="00CD62A3" w:rsidP="00CD62A3">
      <w:pPr>
        <w:jc w:val="center"/>
        <w:rPr>
          <w:rFonts w:ascii="Arial" w:eastAsia="Arial" w:hAnsi="Arial" w:cs="Arial"/>
          <w:b/>
          <w:bCs/>
          <w:color w:val="000000" w:themeColor="text1"/>
          <w:sz w:val="40"/>
          <w:szCs w:val="40"/>
        </w:rPr>
      </w:pPr>
    </w:p>
    <w:p w14:paraId="11CDA257" w14:textId="77777777" w:rsidR="00CD62A3" w:rsidRDefault="00CD62A3" w:rsidP="00CD62A3">
      <w:pPr>
        <w:jc w:val="center"/>
        <w:rPr>
          <w:rFonts w:ascii="Arial" w:eastAsia="Arial" w:hAnsi="Arial" w:cs="Arial"/>
          <w:b/>
          <w:bCs/>
          <w:color w:val="000000" w:themeColor="text1"/>
          <w:sz w:val="40"/>
          <w:szCs w:val="40"/>
        </w:rPr>
      </w:pPr>
    </w:p>
    <w:p w14:paraId="6FC4E3F1" w14:textId="77777777" w:rsidR="00CD62A3" w:rsidRDefault="00CD62A3" w:rsidP="00CD62A3">
      <w:pPr>
        <w:jc w:val="center"/>
        <w:rPr>
          <w:rFonts w:ascii="Arial" w:eastAsia="Arial" w:hAnsi="Arial" w:cs="Arial"/>
          <w:b/>
          <w:bCs/>
          <w:color w:val="000000" w:themeColor="text1"/>
          <w:sz w:val="40"/>
          <w:szCs w:val="40"/>
        </w:rPr>
      </w:pPr>
    </w:p>
    <w:p w14:paraId="40DB5D85" w14:textId="77777777" w:rsidR="00CD62A3" w:rsidRDefault="00CD62A3" w:rsidP="00CD62A3">
      <w:pPr>
        <w:jc w:val="center"/>
        <w:rPr>
          <w:rFonts w:ascii="Arial" w:eastAsia="Arial" w:hAnsi="Arial" w:cs="Arial"/>
          <w:b/>
          <w:bCs/>
          <w:color w:val="000000" w:themeColor="text1"/>
          <w:sz w:val="40"/>
          <w:szCs w:val="40"/>
        </w:rPr>
      </w:pPr>
    </w:p>
    <w:p w14:paraId="136021EF" w14:textId="77777777" w:rsidR="00CD62A3" w:rsidRDefault="00CD62A3" w:rsidP="00CD62A3">
      <w:pPr>
        <w:jc w:val="center"/>
        <w:rPr>
          <w:rFonts w:ascii="Arial" w:eastAsia="Arial" w:hAnsi="Arial" w:cs="Arial"/>
          <w:b/>
          <w:bCs/>
          <w:color w:val="000000" w:themeColor="text1"/>
          <w:sz w:val="40"/>
          <w:szCs w:val="40"/>
        </w:rPr>
      </w:pPr>
    </w:p>
    <w:p w14:paraId="000157CD" w14:textId="77777777" w:rsidR="00CD62A3" w:rsidRDefault="00CD62A3" w:rsidP="00CD62A3">
      <w:pPr>
        <w:jc w:val="center"/>
        <w:rPr>
          <w:rFonts w:ascii="Arial" w:eastAsia="Arial" w:hAnsi="Arial" w:cs="Arial"/>
          <w:b/>
          <w:bCs/>
          <w:color w:val="000000" w:themeColor="text1"/>
          <w:sz w:val="40"/>
          <w:szCs w:val="40"/>
        </w:rPr>
      </w:pPr>
    </w:p>
    <w:p w14:paraId="516C7D9B" w14:textId="77777777" w:rsidR="00CD62A3" w:rsidRDefault="00CD62A3" w:rsidP="00CD62A3">
      <w:pPr>
        <w:jc w:val="center"/>
        <w:rPr>
          <w:rFonts w:ascii="Arial" w:eastAsia="Arial" w:hAnsi="Arial" w:cs="Arial"/>
          <w:b/>
          <w:bCs/>
          <w:color w:val="000000" w:themeColor="text1"/>
          <w:sz w:val="40"/>
          <w:szCs w:val="40"/>
        </w:rPr>
      </w:pPr>
    </w:p>
    <w:p w14:paraId="1F825F9A" w14:textId="77777777" w:rsidR="00CD62A3" w:rsidRDefault="00CD62A3" w:rsidP="00CD62A3">
      <w:pPr>
        <w:jc w:val="center"/>
        <w:rPr>
          <w:rFonts w:ascii="Arial" w:eastAsia="Arial" w:hAnsi="Arial" w:cs="Arial"/>
          <w:b/>
          <w:bCs/>
          <w:color w:val="000000" w:themeColor="text1"/>
          <w:sz w:val="40"/>
          <w:szCs w:val="40"/>
        </w:rPr>
      </w:pPr>
    </w:p>
    <w:p w14:paraId="293F13B4" w14:textId="77777777" w:rsidR="00CD62A3" w:rsidRDefault="00CD62A3" w:rsidP="00CD62A3">
      <w:pPr>
        <w:jc w:val="center"/>
        <w:rPr>
          <w:rFonts w:ascii="Arial" w:eastAsia="Arial" w:hAnsi="Arial" w:cs="Arial"/>
          <w:b/>
          <w:bCs/>
          <w:color w:val="000000" w:themeColor="text1"/>
          <w:sz w:val="40"/>
          <w:szCs w:val="40"/>
        </w:rPr>
      </w:pPr>
    </w:p>
    <w:p w14:paraId="012769B9" w14:textId="77777777" w:rsidR="00CD62A3" w:rsidRDefault="00CD62A3" w:rsidP="00CD62A3">
      <w:pPr>
        <w:jc w:val="center"/>
        <w:rPr>
          <w:rFonts w:ascii="Arial" w:eastAsia="Arial" w:hAnsi="Arial" w:cs="Arial"/>
          <w:b/>
          <w:bCs/>
          <w:color w:val="000000" w:themeColor="text1"/>
          <w:sz w:val="40"/>
          <w:szCs w:val="40"/>
        </w:rPr>
      </w:pPr>
    </w:p>
    <w:p w14:paraId="40DBB85E" w14:textId="77777777" w:rsidR="00CD62A3" w:rsidRDefault="00CD62A3" w:rsidP="00CD62A3">
      <w:pPr>
        <w:jc w:val="center"/>
        <w:rPr>
          <w:rFonts w:ascii="Arial" w:eastAsia="Arial" w:hAnsi="Arial" w:cs="Arial"/>
          <w:b/>
          <w:bCs/>
          <w:color w:val="000000" w:themeColor="text1"/>
          <w:sz w:val="40"/>
          <w:szCs w:val="40"/>
        </w:rPr>
      </w:pPr>
    </w:p>
    <w:p w14:paraId="4D0838D5" w14:textId="608A9DFC" w:rsidR="00CD62A3" w:rsidRPr="002C352B" w:rsidRDefault="00CD62A3" w:rsidP="00CD62A3">
      <w:pPr>
        <w:jc w:val="center"/>
        <w:rPr>
          <w:rFonts w:ascii="Arial" w:eastAsia="Arial" w:hAnsi="Arial" w:cs="Arial"/>
          <w:b/>
          <w:bCs/>
          <w:color w:val="000000" w:themeColor="text1"/>
          <w:sz w:val="40"/>
          <w:szCs w:val="40"/>
        </w:rPr>
      </w:pPr>
      <w:r>
        <w:rPr>
          <w:rFonts w:ascii="Arial" w:eastAsia="Arial" w:hAnsi="Arial" w:cs="Arial"/>
          <w:b/>
          <w:bCs/>
          <w:color w:val="000000" w:themeColor="text1"/>
          <w:sz w:val="40"/>
          <w:szCs w:val="40"/>
        </w:rPr>
        <w:t xml:space="preserve">PUBLIC </w:t>
      </w:r>
      <w:r w:rsidRPr="002C352B">
        <w:rPr>
          <w:rFonts w:ascii="Arial" w:eastAsia="Arial" w:hAnsi="Arial" w:cs="Arial"/>
          <w:b/>
          <w:bCs/>
          <w:color w:val="000000" w:themeColor="text1"/>
          <w:sz w:val="40"/>
          <w:szCs w:val="40"/>
        </w:rPr>
        <w:t>NOTICE</w:t>
      </w:r>
    </w:p>
    <w:p w14:paraId="4F792529" w14:textId="77777777" w:rsidR="00CD62A3" w:rsidRPr="002C352B" w:rsidRDefault="00CD62A3" w:rsidP="00CD62A3">
      <w:pPr>
        <w:jc w:val="center"/>
        <w:rPr>
          <w:rFonts w:ascii="Arial" w:eastAsia="Arial" w:hAnsi="Arial" w:cs="Arial"/>
          <w:b/>
          <w:bCs/>
          <w:color w:val="000000" w:themeColor="text1"/>
          <w:sz w:val="40"/>
          <w:szCs w:val="40"/>
        </w:rPr>
      </w:pPr>
      <w:r w:rsidRPr="002C352B">
        <w:rPr>
          <w:rFonts w:ascii="Arial" w:eastAsia="Arial" w:hAnsi="Arial" w:cs="Arial"/>
          <w:b/>
          <w:bCs/>
          <w:color w:val="000000" w:themeColor="text1"/>
          <w:sz w:val="40"/>
          <w:szCs w:val="40"/>
        </w:rPr>
        <w:t>APPLICATION FOR A PAVEMENT LICENCE</w:t>
      </w:r>
    </w:p>
    <w:p w14:paraId="7593714E" w14:textId="77777777" w:rsidR="00CD62A3" w:rsidRPr="002C352B" w:rsidRDefault="00CD62A3" w:rsidP="00CD62A3">
      <w:pPr>
        <w:jc w:val="center"/>
        <w:rPr>
          <w:rFonts w:ascii="Arial" w:eastAsia="Arial" w:hAnsi="Arial" w:cs="Arial"/>
          <w:color w:val="000000" w:themeColor="text1"/>
          <w:sz w:val="32"/>
          <w:szCs w:val="32"/>
          <w:u w:val="single"/>
        </w:rPr>
      </w:pPr>
      <w:r w:rsidRPr="002C352B">
        <w:rPr>
          <w:rFonts w:ascii="Arial" w:eastAsia="Arial" w:hAnsi="Arial" w:cs="Arial"/>
          <w:b/>
          <w:bCs/>
          <w:color w:val="000000" w:themeColor="text1"/>
          <w:sz w:val="32"/>
          <w:szCs w:val="32"/>
          <w:u w:val="single"/>
        </w:rPr>
        <w:t>BUSINESS &amp; PLANNING ACT 2020</w:t>
      </w:r>
    </w:p>
    <w:p w14:paraId="346EAE41" w14:textId="77777777" w:rsidR="00CD62A3" w:rsidRPr="002C352B" w:rsidRDefault="00CD62A3" w:rsidP="00CD62A3">
      <w:pPr>
        <w:rPr>
          <w:rFonts w:ascii="Arial" w:eastAsia="Arial" w:hAnsi="Arial" w:cs="Arial"/>
          <w:color w:val="000000" w:themeColor="text1"/>
          <w:sz w:val="28"/>
          <w:szCs w:val="28"/>
        </w:rPr>
      </w:pPr>
    </w:p>
    <w:p w14:paraId="151FC344" w14:textId="77777777" w:rsidR="00CD62A3" w:rsidRPr="002C352B" w:rsidRDefault="00CD62A3" w:rsidP="00CD62A3">
      <w:pPr>
        <w:rPr>
          <w:rFonts w:ascii="Arial" w:eastAsia="Arial" w:hAnsi="Arial" w:cs="Arial"/>
          <w:i/>
          <w:iCs/>
          <w:color w:val="000000" w:themeColor="text1"/>
          <w:sz w:val="28"/>
          <w:szCs w:val="28"/>
        </w:rPr>
      </w:pPr>
      <w:r w:rsidRPr="002C352B">
        <w:rPr>
          <w:rFonts w:ascii="Arial" w:eastAsia="Arial" w:hAnsi="Arial" w:cs="Arial"/>
          <w:color w:val="000000" w:themeColor="text1"/>
          <w:sz w:val="28"/>
          <w:szCs w:val="28"/>
        </w:rPr>
        <w:t xml:space="preserve">I/We </w:t>
      </w:r>
    </w:p>
    <w:p w14:paraId="1E60435E" w14:textId="676CBB26"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 xml:space="preserve">hereby give notice that on </w:t>
      </w:r>
      <w:r>
        <w:rPr>
          <w:rFonts w:ascii="Arial" w:eastAsia="Arial" w:hAnsi="Arial" w:cs="Arial"/>
          <w:color w:val="000000" w:themeColor="text1"/>
          <w:sz w:val="28"/>
          <w:szCs w:val="28"/>
        </w:rPr>
        <w:t>*</w:t>
      </w:r>
      <w:r w:rsidRPr="00CD62A3">
        <w:rPr>
          <w:rFonts w:ascii="Arial" w:eastAsia="Arial" w:hAnsi="Arial" w:cs="Arial"/>
          <w:b/>
          <w:bCs/>
          <w:color w:val="000000" w:themeColor="text1"/>
          <w:sz w:val="28"/>
          <w:szCs w:val="28"/>
        </w:rPr>
        <w:t>insert date of application</w:t>
      </w:r>
      <w:r>
        <w:rPr>
          <w:rFonts w:ascii="Arial" w:eastAsia="Arial" w:hAnsi="Arial" w:cs="Arial"/>
          <w:color w:val="000000" w:themeColor="text1"/>
          <w:sz w:val="28"/>
          <w:szCs w:val="28"/>
        </w:rPr>
        <w:t>*</w:t>
      </w:r>
      <w:r w:rsidRPr="002C352B">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I/we</w:t>
      </w:r>
      <w:r w:rsidRPr="002C352B">
        <w:rPr>
          <w:rFonts w:ascii="Arial" w:eastAsia="Arial" w:hAnsi="Arial" w:cs="Arial"/>
          <w:color w:val="000000" w:themeColor="text1"/>
          <w:sz w:val="28"/>
          <w:szCs w:val="28"/>
        </w:rPr>
        <w:t xml:space="preserve"> have applied to Oldham Council for a ‘Pavement Licence’</w:t>
      </w:r>
      <w:r w:rsidRPr="002C352B">
        <w:rPr>
          <w:rFonts w:ascii="Arial" w:eastAsia="Arial" w:hAnsi="Arial" w:cs="Arial"/>
          <w:i/>
          <w:iCs/>
          <w:color w:val="000000" w:themeColor="text1"/>
          <w:sz w:val="28"/>
          <w:szCs w:val="28"/>
        </w:rPr>
        <w:t xml:space="preserve"> </w:t>
      </w:r>
      <w:r w:rsidRPr="002C352B">
        <w:rPr>
          <w:rFonts w:ascii="Arial" w:eastAsia="Arial" w:hAnsi="Arial" w:cs="Arial"/>
          <w:color w:val="000000" w:themeColor="text1"/>
          <w:sz w:val="28"/>
          <w:szCs w:val="28"/>
        </w:rPr>
        <w:t>at</w:t>
      </w:r>
      <w:r>
        <w:rPr>
          <w:rFonts w:ascii="Arial" w:eastAsia="Arial" w:hAnsi="Arial" w:cs="Arial"/>
          <w:color w:val="000000" w:themeColor="text1"/>
          <w:sz w:val="28"/>
          <w:szCs w:val="28"/>
        </w:rPr>
        <w:t xml:space="preserve"> </w:t>
      </w:r>
      <w:r w:rsidRPr="00CD62A3">
        <w:rPr>
          <w:rFonts w:ascii="Arial" w:eastAsia="Arial" w:hAnsi="Arial" w:cs="Arial"/>
          <w:b/>
          <w:bCs/>
          <w:color w:val="000000" w:themeColor="text1"/>
          <w:sz w:val="28"/>
          <w:szCs w:val="28"/>
        </w:rPr>
        <w:t>*insert name and address of premises*</w:t>
      </w:r>
    </w:p>
    <w:p w14:paraId="318A36C3" w14:textId="77777777" w:rsidR="00CD62A3" w:rsidRDefault="00CD62A3" w:rsidP="00CD62A3">
      <w:pPr>
        <w:rPr>
          <w:rFonts w:ascii="Arial" w:eastAsia="Arial" w:hAnsi="Arial" w:cs="Arial"/>
          <w:color w:val="000000" w:themeColor="text1"/>
          <w:sz w:val="28"/>
          <w:szCs w:val="28"/>
        </w:rPr>
      </w:pPr>
    </w:p>
    <w:p w14:paraId="113AF605" w14:textId="51547E9D" w:rsidR="00CD62A3" w:rsidRPr="002C352B" w:rsidRDefault="00CD62A3" w:rsidP="00CD62A3">
      <w:pPr>
        <w:rPr>
          <w:rFonts w:ascii="Arial" w:eastAsia="Arial" w:hAnsi="Arial" w:cs="Arial"/>
          <w:i/>
          <w:iCs/>
          <w:color w:val="000000" w:themeColor="text1"/>
          <w:sz w:val="28"/>
          <w:szCs w:val="28"/>
        </w:rPr>
      </w:pPr>
      <w:r w:rsidRPr="002C352B">
        <w:rPr>
          <w:rFonts w:ascii="Arial" w:eastAsia="Arial" w:hAnsi="Arial" w:cs="Arial"/>
          <w:color w:val="000000" w:themeColor="text1"/>
          <w:sz w:val="28"/>
          <w:szCs w:val="28"/>
        </w:rPr>
        <w:t>The application is for:</w:t>
      </w:r>
      <w:r>
        <w:rPr>
          <w:rFonts w:ascii="Arial" w:eastAsia="Arial" w:hAnsi="Arial" w:cs="Arial"/>
          <w:color w:val="000000" w:themeColor="text1"/>
          <w:sz w:val="28"/>
          <w:szCs w:val="28"/>
        </w:rPr>
        <w:t xml:space="preserve"> </w:t>
      </w:r>
      <w:r w:rsidRPr="00CD62A3">
        <w:rPr>
          <w:rFonts w:ascii="Arial" w:eastAsia="Arial" w:hAnsi="Arial" w:cs="Arial"/>
          <w:b/>
          <w:bCs/>
          <w:color w:val="000000" w:themeColor="text1"/>
          <w:sz w:val="28"/>
          <w:szCs w:val="28"/>
        </w:rPr>
        <w:t>*insert brief description i.e., furniture to be placed to the front/side of premises etc*</w:t>
      </w:r>
    </w:p>
    <w:p w14:paraId="1DFCE6E0" w14:textId="77777777"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 xml:space="preserve"> </w:t>
      </w:r>
    </w:p>
    <w:p w14:paraId="35056046" w14:textId="521592DB"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 xml:space="preserve">Any person wishing to make representations to this application may do so by </w:t>
      </w:r>
      <w:r>
        <w:rPr>
          <w:rFonts w:ascii="Arial" w:eastAsia="Arial" w:hAnsi="Arial" w:cs="Arial"/>
          <w:color w:val="000000" w:themeColor="text1"/>
          <w:sz w:val="28"/>
          <w:szCs w:val="28"/>
        </w:rPr>
        <w:t xml:space="preserve">emailing the </w:t>
      </w:r>
      <w:r w:rsidRPr="002C352B">
        <w:rPr>
          <w:rFonts w:ascii="Arial" w:eastAsia="Arial" w:hAnsi="Arial" w:cs="Arial"/>
          <w:bCs/>
          <w:color w:val="000000" w:themeColor="text1"/>
          <w:sz w:val="28"/>
          <w:szCs w:val="28"/>
        </w:rPr>
        <w:t xml:space="preserve">Licensing Team at </w:t>
      </w:r>
      <w:hyperlink r:id="rId13" w:history="1">
        <w:r w:rsidRPr="002C352B">
          <w:rPr>
            <w:rStyle w:val="Hyperlink"/>
            <w:rFonts w:ascii="Arial" w:eastAsia="Arial" w:hAnsi="Arial" w:cs="Arial"/>
            <w:bCs/>
            <w:sz w:val="28"/>
            <w:szCs w:val="28"/>
          </w:rPr>
          <w:t>licensing@oldham.gov.uk</w:t>
        </w:r>
      </w:hyperlink>
      <w:r w:rsidRPr="002C352B">
        <w:rPr>
          <w:rFonts w:ascii="Arial" w:eastAsia="Arial" w:hAnsi="Arial" w:cs="Arial"/>
          <w:bCs/>
          <w:sz w:val="28"/>
          <w:szCs w:val="28"/>
        </w:rPr>
        <w:t xml:space="preserve"> or by writing to </w:t>
      </w:r>
      <w:r>
        <w:rPr>
          <w:rFonts w:ascii="Arial" w:eastAsia="Arial" w:hAnsi="Arial" w:cs="Arial"/>
          <w:bCs/>
          <w:sz w:val="28"/>
          <w:szCs w:val="28"/>
        </w:rPr>
        <w:t xml:space="preserve">Licensing Service, </w:t>
      </w:r>
      <w:r w:rsidRPr="002C352B">
        <w:rPr>
          <w:rFonts w:ascii="Arial" w:eastAsia="Arial" w:hAnsi="Arial" w:cs="Arial"/>
          <w:bCs/>
          <w:sz w:val="28"/>
          <w:szCs w:val="28"/>
        </w:rPr>
        <w:t>Sir Robert Peacock House, Vulcan Street, Oldham, OL1 4LA</w:t>
      </w:r>
      <w:r>
        <w:rPr>
          <w:rFonts w:ascii="Arial" w:eastAsia="Arial" w:hAnsi="Arial" w:cs="Arial"/>
          <w:bCs/>
          <w:sz w:val="28"/>
          <w:szCs w:val="28"/>
        </w:rPr>
        <w:t xml:space="preserve"> no later than</w:t>
      </w:r>
      <w:r>
        <w:rPr>
          <w:rFonts w:ascii="Arial" w:eastAsia="Arial" w:hAnsi="Arial" w:cs="Arial"/>
          <w:color w:val="000000" w:themeColor="text1"/>
          <w:sz w:val="28"/>
          <w:szCs w:val="28"/>
        </w:rPr>
        <w:t xml:space="preserve"> </w:t>
      </w:r>
      <w:r w:rsidRPr="00CD62A3">
        <w:rPr>
          <w:rFonts w:ascii="Arial" w:eastAsia="Arial" w:hAnsi="Arial" w:cs="Arial"/>
          <w:b/>
          <w:bCs/>
          <w:color w:val="000000" w:themeColor="text1"/>
          <w:sz w:val="28"/>
          <w:szCs w:val="28"/>
        </w:rPr>
        <w:t>*insert the</w:t>
      </w:r>
      <w:r>
        <w:rPr>
          <w:rFonts w:ascii="Arial" w:eastAsia="Arial" w:hAnsi="Arial" w:cs="Arial"/>
          <w:b/>
          <w:bCs/>
          <w:color w:val="000000" w:themeColor="text1"/>
          <w:sz w:val="28"/>
          <w:szCs w:val="28"/>
        </w:rPr>
        <w:t xml:space="preserve"> date</w:t>
      </w:r>
      <w:r w:rsidRPr="00CD62A3">
        <w:rPr>
          <w:rFonts w:ascii="Arial" w:eastAsia="Arial" w:hAnsi="Arial" w:cs="Arial"/>
          <w:b/>
          <w:bCs/>
          <w:color w:val="000000" w:themeColor="text1"/>
          <w:sz w:val="28"/>
          <w:szCs w:val="28"/>
        </w:rPr>
        <w:t xml:space="preserve"> last comments may be made </w:t>
      </w:r>
      <w:r>
        <w:rPr>
          <w:rFonts w:ascii="Arial" w:eastAsia="Arial" w:hAnsi="Arial" w:cs="Arial"/>
          <w:b/>
          <w:bCs/>
          <w:color w:val="000000" w:themeColor="text1"/>
          <w:sz w:val="28"/>
          <w:szCs w:val="28"/>
        </w:rPr>
        <w:t xml:space="preserve">by </w:t>
      </w:r>
      <w:r w:rsidRPr="00CD62A3">
        <w:rPr>
          <w:rFonts w:ascii="Arial" w:eastAsia="Arial" w:hAnsi="Arial" w:cs="Arial"/>
          <w:b/>
          <w:bCs/>
          <w:color w:val="000000" w:themeColor="text1"/>
          <w:sz w:val="28"/>
          <w:szCs w:val="28"/>
        </w:rPr>
        <w:t xml:space="preserve">(14 days </w:t>
      </w:r>
      <w:r>
        <w:rPr>
          <w:rFonts w:ascii="Arial" w:eastAsia="Arial" w:hAnsi="Arial" w:cs="Arial"/>
          <w:b/>
          <w:bCs/>
          <w:color w:val="000000" w:themeColor="text1"/>
          <w:sz w:val="28"/>
          <w:szCs w:val="28"/>
        </w:rPr>
        <w:t>starting the day after</w:t>
      </w:r>
      <w:r w:rsidRPr="00CD62A3">
        <w:rPr>
          <w:rFonts w:ascii="Arial" w:eastAsia="Arial" w:hAnsi="Arial" w:cs="Arial"/>
          <w:b/>
          <w:bCs/>
          <w:color w:val="000000" w:themeColor="text1"/>
          <w:sz w:val="28"/>
          <w:szCs w:val="28"/>
        </w:rPr>
        <w:t xml:space="preserve"> submission</w:t>
      </w:r>
      <w:r>
        <w:rPr>
          <w:rFonts w:ascii="Arial" w:eastAsia="Arial" w:hAnsi="Arial" w:cs="Arial"/>
          <w:b/>
          <w:bCs/>
          <w:color w:val="000000" w:themeColor="text1"/>
          <w:sz w:val="28"/>
          <w:szCs w:val="28"/>
        </w:rPr>
        <w:t>,</w:t>
      </w:r>
      <w:r w:rsidRPr="00CD62A3">
        <w:rPr>
          <w:rFonts w:ascii="Arial" w:eastAsia="Arial" w:hAnsi="Arial" w:cs="Arial"/>
          <w:b/>
          <w:bCs/>
          <w:color w:val="000000" w:themeColor="text1"/>
          <w:sz w:val="28"/>
          <w:szCs w:val="28"/>
        </w:rPr>
        <w:t xml:space="preserve"> excluding public holidays)*</w:t>
      </w:r>
    </w:p>
    <w:p w14:paraId="2A4B2477" w14:textId="044F8ACB"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 xml:space="preserve">The application and information submitted with it can be viewed on the Council’s website: </w:t>
      </w:r>
      <w:hyperlink r:id="rId14" w:history="1">
        <w:r w:rsidRPr="00693E0E">
          <w:rPr>
            <w:rStyle w:val="Hyperlink"/>
            <w:rFonts w:ascii="Arial" w:hAnsi="Arial" w:cs="Arial"/>
            <w:sz w:val="28"/>
            <w:szCs w:val="28"/>
          </w:rPr>
          <w:t>www.oldham.gov.uk/licensing</w:t>
        </w:r>
      </w:hyperlink>
      <w:r>
        <w:rPr>
          <w:rFonts w:ascii="Arial" w:hAnsi="Arial" w:cs="Arial"/>
          <w:sz w:val="28"/>
          <w:szCs w:val="28"/>
        </w:rPr>
        <w:t xml:space="preserve"> and clicking “consultations &amp; statutory notices”.</w:t>
      </w:r>
    </w:p>
    <w:p w14:paraId="1FC2A434" w14:textId="77777777"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 xml:space="preserve"> </w:t>
      </w:r>
    </w:p>
    <w:p w14:paraId="0922107F" w14:textId="77777777" w:rsidR="00CD62A3" w:rsidRPr="002C352B" w:rsidRDefault="00CD62A3" w:rsidP="00CD62A3">
      <w:pPr>
        <w:rPr>
          <w:rFonts w:ascii="Arial" w:eastAsia="Arial" w:hAnsi="Arial" w:cs="Arial"/>
          <w:color w:val="000000" w:themeColor="text1"/>
          <w:sz w:val="28"/>
          <w:szCs w:val="28"/>
        </w:rPr>
      </w:pPr>
      <w:r w:rsidRPr="002C352B">
        <w:rPr>
          <w:rFonts w:ascii="Arial" w:eastAsia="Arial" w:hAnsi="Arial" w:cs="Arial"/>
          <w:color w:val="000000" w:themeColor="text1"/>
          <w:sz w:val="28"/>
          <w:szCs w:val="28"/>
        </w:rPr>
        <w:t>Signed</w:t>
      </w:r>
      <w:r>
        <w:rPr>
          <w:rFonts w:ascii="Arial" w:eastAsia="Arial" w:hAnsi="Arial" w:cs="Arial"/>
          <w:color w:val="000000" w:themeColor="text1"/>
          <w:sz w:val="28"/>
          <w:szCs w:val="28"/>
        </w:rPr>
        <w:t>:</w:t>
      </w:r>
    </w:p>
    <w:p w14:paraId="7ADF950D" w14:textId="77777777" w:rsidR="00CD62A3" w:rsidRDefault="00CD62A3" w:rsidP="00CD62A3">
      <w:pPr>
        <w:rPr>
          <w:rFonts w:ascii="Arial" w:eastAsia="Arial" w:hAnsi="Arial" w:cs="Arial"/>
          <w:color w:val="000000" w:themeColor="text1"/>
          <w:sz w:val="28"/>
          <w:szCs w:val="28"/>
        </w:rPr>
      </w:pPr>
    </w:p>
    <w:p w14:paraId="6E660769" w14:textId="77777777" w:rsidR="00CD62A3" w:rsidRPr="00881851" w:rsidRDefault="00CD62A3" w:rsidP="00CD62A3">
      <w:pPr>
        <w:rPr>
          <w:rFonts w:ascii="Arial" w:hAnsi="Arial" w:cs="Arial"/>
          <w:sz w:val="24"/>
          <w:szCs w:val="24"/>
        </w:rPr>
      </w:pPr>
      <w:r w:rsidRPr="002C352B">
        <w:rPr>
          <w:rFonts w:ascii="Arial" w:eastAsia="Arial" w:hAnsi="Arial" w:cs="Arial"/>
          <w:color w:val="000000" w:themeColor="text1"/>
          <w:sz w:val="28"/>
          <w:szCs w:val="28"/>
        </w:rPr>
        <w:t>Dated</w:t>
      </w:r>
      <w:r>
        <w:rPr>
          <w:rFonts w:ascii="Arial" w:eastAsia="Arial" w:hAnsi="Arial" w:cs="Arial"/>
          <w:color w:val="000000" w:themeColor="text1"/>
          <w:sz w:val="28"/>
          <w:szCs w:val="28"/>
        </w:rPr>
        <w:t>:</w:t>
      </w:r>
    </w:p>
    <w:p w14:paraId="16715E35" w14:textId="77777777" w:rsidR="0044195E" w:rsidRDefault="0044195E" w:rsidP="00477057">
      <w:pPr>
        <w:pStyle w:val="Default"/>
        <w:rPr>
          <w:rFonts w:ascii="Arial" w:hAnsi="Arial" w:cs="Arial"/>
          <w:b/>
          <w:bCs/>
          <w:color w:val="auto"/>
          <w:sz w:val="32"/>
          <w:szCs w:val="32"/>
          <w:u w:val="single"/>
        </w:rPr>
      </w:pPr>
    </w:p>
    <w:sectPr w:rsidR="0044195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186B" w14:textId="0CC54420" w:rsidR="0047550D" w:rsidRPr="0047550D" w:rsidRDefault="0047550D" w:rsidP="0047550D">
    <w:pPr>
      <w:jc w:val="both"/>
      <w:rPr>
        <w:rFonts w:ascii="Arial" w:hAnsi="Arial" w:cs="Arial"/>
      </w:rPr>
    </w:pPr>
    <w:r w:rsidRPr="00EF09F3">
      <w:rPr>
        <w:rFonts w:ascii="Arial" w:hAnsi="Arial" w:cs="Arial"/>
      </w:rPr>
      <w:t xml:space="preserve">The leaflet does not replace the </w:t>
    </w:r>
    <w:r w:rsidR="00A1061D">
      <w:rPr>
        <w:rFonts w:ascii="Arial" w:hAnsi="Arial" w:cs="Arial"/>
      </w:rPr>
      <w:t>Business &amp; Planning Act 2020,</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91828"/>
    <w:multiLevelType w:val="hybridMultilevel"/>
    <w:tmpl w:val="E1D6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13DE8"/>
    <w:multiLevelType w:val="multilevel"/>
    <w:tmpl w:val="545E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F37A7"/>
    <w:multiLevelType w:val="multilevel"/>
    <w:tmpl w:val="7BD8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01502"/>
    <w:multiLevelType w:val="hybridMultilevel"/>
    <w:tmpl w:val="261C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12A4620"/>
    <w:multiLevelType w:val="multilevel"/>
    <w:tmpl w:val="112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C7A86"/>
    <w:multiLevelType w:val="hybridMultilevel"/>
    <w:tmpl w:val="619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71D2F"/>
    <w:multiLevelType w:val="multilevel"/>
    <w:tmpl w:val="AE5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398645">
    <w:abstractNumId w:val="9"/>
  </w:num>
  <w:num w:numId="2" w16cid:durableId="165286383">
    <w:abstractNumId w:val="7"/>
  </w:num>
  <w:num w:numId="3" w16cid:durableId="948854704">
    <w:abstractNumId w:val="1"/>
  </w:num>
  <w:num w:numId="4" w16cid:durableId="1522933408">
    <w:abstractNumId w:val="6"/>
  </w:num>
  <w:num w:numId="5" w16cid:durableId="405880760">
    <w:abstractNumId w:val="0"/>
  </w:num>
  <w:num w:numId="6" w16cid:durableId="89591776">
    <w:abstractNumId w:val="5"/>
  </w:num>
  <w:num w:numId="7" w16cid:durableId="1140536603">
    <w:abstractNumId w:val="2"/>
  </w:num>
  <w:num w:numId="8" w16cid:durableId="5494203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9504540">
    <w:abstractNumId w:val="12"/>
  </w:num>
  <w:num w:numId="10" w16cid:durableId="623076974">
    <w:abstractNumId w:val="10"/>
  </w:num>
  <w:num w:numId="11" w16cid:durableId="1837531116">
    <w:abstractNumId w:val="4"/>
  </w:num>
  <w:num w:numId="12" w16cid:durableId="1994946004">
    <w:abstractNumId w:val="14"/>
  </w:num>
  <w:num w:numId="13" w16cid:durableId="2078549544">
    <w:abstractNumId w:val="13"/>
  </w:num>
  <w:num w:numId="14" w16cid:durableId="1508982140">
    <w:abstractNumId w:val="8"/>
  </w:num>
  <w:num w:numId="15" w16cid:durableId="1286426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1FEB"/>
    <w:rsid w:val="000F25FC"/>
    <w:rsid w:val="000F6629"/>
    <w:rsid w:val="00105F3A"/>
    <w:rsid w:val="002D2CAE"/>
    <w:rsid w:val="002F1C37"/>
    <w:rsid w:val="003D2465"/>
    <w:rsid w:val="003E37C9"/>
    <w:rsid w:val="0044195E"/>
    <w:rsid w:val="0047550D"/>
    <w:rsid w:val="00477057"/>
    <w:rsid w:val="004B50E0"/>
    <w:rsid w:val="004B7E24"/>
    <w:rsid w:val="004F5098"/>
    <w:rsid w:val="005B07C1"/>
    <w:rsid w:val="00643424"/>
    <w:rsid w:val="00753ECA"/>
    <w:rsid w:val="00761755"/>
    <w:rsid w:val="007D4C2A"/>
    <w:rsid w:val="007F489C"/>
    <w:rsid w:val="00826A0F"/>
    <w:rsid w:val="008763F1"/>
    <w:rsid w:val="00903FDF"/>
    <w:rsid w:val="009C3B89"/>
    <w:rsid w:val="009E7262"/>
    <w:rsid w:val="00A1061D"/>
    <w:rsid w:val="00AA0078"/>
    <w:rsid w:val="00AC21CC"/>
    <w:rsid w:val="00AF0E6A"/>
    <w:rsid w:val="00AF1270"/>
    <w:rsid w:val="00B16DD7"/>
    <w:rsid w:val="00B405B5"/>
    <w:rsid w:val="00BE1A93"/>
    <w:rsid w:val="00CA22ED"/>
    <w:rsid w:val="00CD2827"/>
    <w:rsid w:val="00CD62A3"/>
    <w:rsid w:val="00D009A6"/>
    <w:rsid w:val="00D1449D"/>
    <w:rsid w:val="00D92C5A"/>
    <w:rsid w:val="00E31C52"/>
    <w:rsid w:val="00E37B9F"/>
    <w:rsid w:val="00E57854"/>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 w:type="paragraph" w:styleId="NormalWeb">
    <w:name w:val="Normal (Web)"/>
    <w:basedOn w:val="Normal"/>
    <w:uiPriority w:val="99"/>
    <w:semiHidden/>
    <w:unhideWhenUsed/>
    <w:rsid w:val="00A106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4831">
      <w:bodyDiv w:val="1"/>
      <w:marLeft w:val="0"/>
      <w:marRight w:val="0"/>
      <w:marTop w:val="0"/>
      <w:marBottom w:val="0"/>
      <w:divBdr>
        <w:top w:val="none" w:sz="0" w:space="0" w:color="auto"/>
        <w:left w:val="none" w:sz="0" w:space="0" w:color="auto"/>
        <w:bottom w:val="none" w:sz="0" w:space="0" w:color="auto"/>
        <w:right w:val="none" w:sz="0" w:space="0" w:color="auto"/>
      </w:divBdr>
    </w:div>
    <w:div w:id="300965449">
      <w:bodyDiv w:val="1"/>
      <w:marLeft w:val="0"/>
      <w:marRight w:val="0"/>
      <w:marTop w:val="0"/>
      <w:marBottom w:val="0"/>
      <w:divBdr>
        <w:top w:val="none" w:sz="0" w:space="0" w:color="auto"/>
        <w:left w:val="none" w:sz="0" w:space="0" w:color="auto"/>
        <w:bottom w:val="none" w:sz="0" w:space="0" w:color="auto"/>
        <w:right w:val="none" w:sz="0" w:space="0" w:color="auto"/>
      </w:divBdr>
    </w:div>
    <w:div w:id="604970214">
      <w:bodyDiv w:val="1"/>
      <w:marLeft w:val="0"/>
      <w:marRight w:val="0"/>
      <w:marTop w:val="0"/>
      <w:marBottom w:val="0"/>
      <w:divBdr>
        <w:top w:val="none" w:sz="0" w:space="0" w:color="auto"/>
        <w:left w:val="none" w:sz="0" w:space="0" w:color="auto"/>
        <w:bottom w:val="none" w:sz="0" w:space="0" w:color="auto"/>
        <w:right w:val="none" w:sz="0" w:space="0" w:color="auto"/>
      </w:divBdr>
    </w:div>
    <w:div w:id="707686871">
      <w:bodyDiv w:val="1"/>
      <w:marLeft w:val="0"/>
      <w:marRight w:val="0"/>
      <w:marTop w:val="0"/>
      <w:marBottom w:val="0"/>
      <w:divBdr>
        <w:top w:val="none" w:sz="0" w:space="0" w:color="auto"/>
        <w:left w:val="none" w:sz="0" w:space="0" w:color="auto"/>
        <w:bottom w:val="none" w:sz="0" w:space="0" w:color="auto"/>
        <w:right w:val="none" w:sz="0" w:space="0" w:color="auto"/>
      </w:divBdr>
    </w:div>
    <w:div w:id="11149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licensing" TargetMode="External"/><Relationship Id="rId13" Type="http://schemas.openxmlformats.org/officeDocument/2006/relationships/hyperlink" Target="mailto:licensing@oldham.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avement-licences-guidance/pavement-licences-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20/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ldham.gov.uk/licensing" TargetMode="External"/><Relationship Id="rId4" Type="http://schemas.openxmlformats.org/officeDocument/2006/relationships/settings" Target="settings.xml"/><Relationship Id="rId9" Type="http://schemas.openxmlformats.org/officeDocument/2006/relationships/hyperlink" Target="mailto:licensing@oldham.gov.uk" TargetMode="External"/><Relationship Id="rId14" Type="http://schemas.openxmlformats.org/officeDocument/2006/relationships/hyperlink" Target="http://www.oldham.gov.uk/licen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B8B3-A3B3-4E55-AEF0-CF0003E5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5</cp:revision>
  <dcterms:created xsi:type="dcterms:W3CDTF">2024-08-19T13:30:00Z</dcterms:created>
  <dcterms:modified xsi:type="dcterms:W3CDTF">2025-04-23T12:13:00Z</dcterms:modified>
</cp:coreProperties>
</file>