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6CDB4" w14:textId="3BFF2623" w:rsidR="00731CAF" w:rsidRDefault="004C7EEC">
      <w:pPr>
        <w:jc w:val="both"/>
      </w:pPr>
      <w:r>
        <w:rPr>
          <w:noProof/>
          <w:lang w:eastAsia="en-GB"/>
        </w:rPr>
        <w:drawing>
          <wp:anchor distT="0" distB="0" distL="114300" distR="114300" simplePos="0" relativeHeight="251657216" behindDoc="0" locked="0" layoutInCell="1" allowOverlap="1" wp14:anchorId="7B01E957" wp14:editId="76B99ECA">
            <wp:simplePos x="0" y="0"/>
            <wp:positionH relativeFrom="page">
              <wp:posOffset>262890</wp:posOffset>
            </wp:positionH>
            <wp:positionV relativeFrom="page">
              <wp:posOffset>262890</wp:posOffset>
            </wp:positionV>
            <wp:extent cx="6972300" cy="774700"/>
            <wp:effectExtent l="0" t="0" r="0" b="0"/>
            <wp:wrapNone/>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E7D3B" w14:textId="77777777" w:rsidR="00731CAF" w:rsidRDefault="00731CAF">
      <w:pPr>
        <w:jc w:val="both"/>
        <w:rPr>
          <w:b/>
          <w:bCs/>
          <w:sz w:val="28"/>
          <w:szCs w:val="28"/>
        </w:rPr>
      </w:pPr>
    </w:p>
    <w:p w14:paraId="3177309A" w14:textId="77777777" w:rsidR="00731CAF" w:rsidRDefault="00731CAF">
      <w:pPr>
        <w:jc w:val="both"/>
      </w:pPr>
    </w:p>
    <w:p w14:paraId="44905A90" w14:textId="77777777" w:rsidR="00731CAF" w:rsidRDefault="00731CAF">
      <w:pPr>
        <w:jc w:val="both"/>
        <w:rPr>
          <w:color w:val="33CCCC"/>
          <w:sz w:val="40"/>
          <w:szCs w:val="40"/>
        </w:rPr>
      </w:pPr>
    </w:p>
    <w:p w14:paraId="70EF1F40" w14:textId="77777777" w:rsidR="00731CAF" w:rsidRDefault="00731CAF">
      <w:pPr>
        <w:rPr>
          <w:bCs/>
          <w:color w:val="33CCCC"/>
          <w:sz w:val="80"/>
          <w:szCs w:val="80"/>
        </w:rPr>
      </w:pPr>
      <w:r>
        <w:rPr>
          <w:bCs/>
          <w:color w:val="33CCCC"/>
          <w:sz w:val="80"/>
          <w:szCs w:val="80"/>
        </w:rPr>
        <w:t>Annual Equality Data Report</w:t>
      </w:r>
    </w:p>
    <w:p w14:paraId="208ECB65" w14:textId="77777777" w:rsidR="00731CAF" w:rsidRDefault="00731CAF">
      <w:pPr>
        <w:jc w:val="both"/>
      </w:pPr>
    </w:p>
    <w:p w14:paraId="211D9FF6" w14:textId="77777777" w:rsidR="00731CAF" w:rsidRDefault="00731CAF">
      <w:pPr>
        <w:jc w:val="both"/>
        <w:rPr>
          <w:b/>
          <w:bCs/>
          <w:sz w:val="40"/>
          <w:szCs w:val="40"/>
        </w:rPr>
      </w:pPr>
      <w:smartTag w:uri="urn:schemas-microsoft-com:office:smarttags" w:element="place">
        <w:r>
          <w:rPr>
            <w:b/>
            <w:bCs/>
            <w:sz w:val="40"/>
            <w:szCs w:val="40"/>
          </w:rPr>
          <w:t>Oldham</w:t>
        </w:r>
      </w:smartTag>
      <w:r>
        <w:rPr>
          <w:b/>
          <w:bCs/>
          <w:sz w:val="40"/>
          <w:szCs w:val="40"/>
        </w:rPr>
        <w:t xml:space="preserve"> Lifelong Learning Service</w:t>
      </w:r>
    </w:p>
    <w:p w14:paraId="088E51AC" w14:textId="77777777" w:rsidR="00731CAF" w:rsidRDefault="00731CAF">
      <w:pPr>
        <w:jc w:val="both"/>
        <w:rPr>
          <w:sz w:val="28"/>
          <w:szCs w:val="28"/>
        </w:rPr>
      </w:pPr>
    </w:p>
    <w:p w14:paraId="56DFFAE4" w14:textId="77777777" w:rsidR="00731CAF" w:rsidRDefault="00FF6CCC">
      <w:pPr>
        <w:jc w:val="both"/>
        <w:rPr>
          <w:sz w:val="40"/>
          <w:szCs w:val="40"/>
        </w:rPr>
      </w:pPr>
      <w:r>
        <w:rPr>
          <w:sz w:val="40"/>
          <w:szCs w:val="40"/>
        </w:rPr>
        <w:t xml:space="preserve">7 December </w:t>
      </w:r>
      <w:r w:rsidR="007D75F4">
        <w:rPr>
          <w:sz w:val="40"/>
          <w:szCs w:val="40"/>
        </w:rPr>
        <w:t>2021</w:t>
      </w:r>
    </w:p>
    <w:p w14:paraId="69A8DAA3" w14:textId="77777777" w:rsidR="00731CAF" w:rsidRDefault="00731CAF">
      <w:pPr>
        <w:jc w:val="both"/>
        <w:rPr>
          <w:sz w:val="28"/>
          <w:szCs w:val="28"/>
        </w:rPr>
      </w:pPr>
    </w:p>
    <w:p w14:paraId="0DD888F1" w14:textId="77777777" w:rsidR="00731CAF" w:rsidRDefault="00731CAF">
      <w:pPr>
        <w:jc w:val="both"/>
        <w:rPr>
          <w:sz w:val="28"/>
          <w:szCs w:val="28"/>
        </w:rPr>
      </w:pPr>
    </w:p>
    <w:p w14:paraId="470A4457" w14:textId="77777777" w:rsidR="00801C41" w:rsidRDefault="00801C41">
      <w:pPr>
        <w:jc w:val="both"/>
        <w:rPr>
          <w:sz w:val="28"/>
          <w:szCs w:val="28"/>
        </w:rPr>
      </w:pPr>
    </w:p>
    <w:p w14:paraId="6FEC9FAF" w14:textId="77777777" w:rsidR="00801C41" w:rsidRDefault="00801C41">
      <w:pPr>
        <w:jc w:val="both"/>
        <w:rPr>
          <w:sz w:val="28"/>
          <w:szCs w:val="28"/>
        </w:rPr>
      </w:pPr>
    </w:p>
    <w:p w14:paraId="63B6F3DC" w14:textId="77777777" w:rsidR="00801C41" w:rsidRDefault="00801C41">
      <w:pPr>
        <w:jc w:val="both"/>
        <w:rPr>
          <w:sz w:val="28"/>
          <w:szCs w:val="28"/>
        </w:rPr>
      </w:pPr>
    </w:p>
    <w:p w14:paraId="7CB61F5A" w14:textId="77777777" w:rsidR="00801C41" w:rsidRDefault="00801C41">
      <w:pPr>
        <w:jc w:val="both"/>
        <w:rPr>
          <w:sz w:val="28"/>
          <w:szCs w:val="28"/>
        </w:rPr>
      </w:pPr>
    </w:p>
    <w:p w14:paraId="71DDB721" w14:textId="77777777" w:rsidR="00801C41" w:rsidRDefault="00801C41">
      <w:pPr>
        <w:jc w:val="both"/>
        <w:rPr>
          <w:sz w:val="28"/>
          <w:szCs w:val="28"/>
        </w:rPr>
      </w:pPr>
    </w:p>
    <w:p w14:paraId="61C75B81" w14:textId="77777777" w:rsidR="00801C41" w:rsidRDefault="00801C41">
      <w:pPr>
        <w:jc w:val="both"/>
        <w:rPr>
          <w:sz w:val="28"/>
          <w:szCs w:val="28"/>
        </w:rPr>
      </w:pPr>
    </w:p>
    <w:p w14:paraId="380E6112" w14:textId="77777777" w:rsidR="00801C41" w:rsidRDefault="00801C41">
      <w:pPr>
        <w:jc w:val="both"/>
        <w:rPr>
          <w:sz w:val="28"/>
          <w:szCs w:val="28"/>
        </w:rPr>
      </w:pPr>
    </w:p>
    <w:p w14:paraId="1AAEB706" w14:textId="77777777" w:rsidR="00801C41" w:rsidRDefault="00801C41">
      <w:pPr>
        <w:jc w:val="both"/>
        <w:rPr>
          <w:sz w:val="28"/>
          <w:szCs w:val="28"/>
        </w:rPr>
      </w:pPr>
    </w:p>
    <w:p w14:paraId="3BB01F98" w14:textId="77777777" w:rsidR="00801C41" w:rsidRDefault="00801C41">
      <w:pPr>
        <w:jc w:val="both"/>
        <w:rPr>
          <w:sz w:val="28"/>
          <w:szCs w:val="28"/>
        </w:rPr>
      </w:pPr>
    </w:p>
    <w:p w14:paraId="6EB8EFD2" w14:textId="77777777" w:rsidR="00801C41" w:rsidRDefault="00801C41">
      <w:pPr>
        <w:jc w:val="both"/>
        <w:rPr>
          <w:sz w:val="28"/>
          <w:szCs w:val="28"/>
        </w:rPr>
      </w:pPr>
    </w:p>
    <w:p w14:paraId="47D530D1" w14:textId="77777777" w:rsidR="00801C41" w:rsidRDefault="00801C41">
      <w:pPr>
        <w:jc w:val="both"/>
        <w:rPr>
          <w:sz w:val="28"/>
          <w:szCs w:val="28"/>
        </w:rPr>
      </w:pPr>
    </w:p>
    <w:p w14:paraId="58BEA08F" w14:textId="77777777" w:rsidR="00801C41" w:rsidRDefault="00801C41">
      <w:pPr>
        <w:jc w:val="both"/>
        <w:rPr>
          <w:sz w:val="28"/>
          <w:szCs w:val="28"/>
        </w:rPr>
      </w:pPr>
    </w:p>
    <w:p w14:paraId="2422779A" w14:textId="77777777" w:rsidR="00801C41" w:rsidRDefault="00801C41">
      <w:pPr>
        <w:jc w:val="both"/>
        <w:rPr>
          <w:sz w:val="28"/>
          <w:szCs w:val="28"/>
        </w:rPr>
      </w:pPr>
    </w:p>
    <w:p w14:paraId="595306C4" w14:textId="77777777" w:rsidR="00801C41" w:rsidRDefault="00801C41">
      <w:pPr>
        <w:jc w:val="both"/>
        <w:rPr>
          <w:sz w:val="28"/>
          <w:szCs w:val="28"/>
        </w:rPr>
      </w:pPr>
    </w:p>
    <w:p w14:paraId="61377367" w14:textId="77777777" w:rsidR="00801C41" w:rsidRDefault="00801C41">
      <w:pPr>
        <w:jc w:val="both"/>
        <w:rPr>
          <w:sz w:val="28"/>
          <w:szCs w:val="28"/>
        </w:rPr>
      </w:pPr>
    </w:p>
    <w:p w14:paraId="27532D55" w14:textId="77777777" w:rsidR="00801C41" w:rsidRDefault="00801C41">
      <w:pPr>
        <w:jc w:val="both"/>
        <w:rPr>
          <w:sz w:val="28"/>
          <w:szCs w:val="28"/>
        </w:rPr>
      </w:pPr>
    </w:p>
    <w:p w14:paraId="3CFED378" w14:textId="77777777" w:rsidR="00801C41" w:rsidRDefault="00801C41">
      <w:pPr>
        <w:jc w:val="both"/>
        <w:rPr>
          <w:sz w:val="28"/>
          <w:szCs w:val="28"/>
        </w:rPr>
      </w:pPr>
    </w:p>
    <w:p w14:paraId="17038846" w14:textId="77777777" w:rsidR="00801C41" w:rsidRDefault="00801C41">
      <w:pPr>
        <w:jc w:val="both"/>
        <w:rPr>
          <w:sz w:val="28"/>
          <w:szCs w:val="28"/>
        </w:rPr>
      </w:pPr>
    </w:p>
    <w:p w14:paraId="7D8FAB8F" w14:textId="77777777" w:rsidR="00801C41" w:rsidRDefault="00801C41">
      <w:pPr>
        <w:jc w:val="both"/>
        <w:rPr>
          <w:sz w:val="28"/>
          <w:szCs w:val="28"/>
        </w:rPr>
      </w:pPr>
    </w:p>
    <w:p w14:paraId="0BB58DC1" w14:textId="77777777" w:rsidR="00801C41" w:rsidRDefault="00801C41">
      <w:pPr>
        <w:jc w:val="both"/>
        <w:rPr>
          <w:sz w:val="28"/>
          <w:szCs w:val="28"/>
        </w:rPr>
      </w:pPr>
    </w:p>
    <w:p w14:paraId="4F0BE1E1" w14:textId="2A66FC10" w:rsidR="00801C41" w:rsidRDefault="00801C41">
      <w:pPr>
        <w:jc w:val="both"/>
        <w:rPr>
          <w:sz w:val="28"/>
          <w:szCs w:val="28"/>
        </w:rPr>
      </w:pPr>
      <w:r>
        <w:rPr>
          <w:noProof/>
        </w:rPr>
        <w:fldChar w:fldCharType="begin"/>
      </w:r>
      <w:r>
        <w:rPr>
          <w:noProof/>
        </w:rPr>
        <w:instrText xml:space="preserve"> INCLUDEPICTURE  "cid:image003.png@01D7A0B5.A68D93E0" \* MERGEFORMATINET </w:instrText>
      </w:r>
      <w:r>
        <w:rPr>
          <w:noProof/>
        </w:rPr>
        <w:fldChar w:fldCharType="separate"/>
      </w:r>
      <w:r w:rsidR="004C7EEC">
        <w:rPr>
          <w:noProof/>
        </w:rPr>
        <w:pict w14:anchorId="062C7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s" style="width:264pt;height:40.35pt;visibility:visible">
            <v:imagedata r:id="rId9" r:href="rId10"/>
          </v:shape>
        </w:pict>
      </w:r>
      <w:r>
        <w:rPr>
          <w:noProof/>
        </w:rPr>
        <w:fldChar w:fldCharType="end"/>
      </w:r>
      <w:r w:rsidR="004C7EEC">
        <w:rPr>
          <w:noProof/>
          <w:lang w:eastAsia="en-GB"/>
        </w:rPr>
        <w:drawing>
          <wp:inline distT="0" distB="0" distL="0" distR="0" wp14:anchorId="72AE27EE" wp14:editId="25BC6ACA">
            <wp:extent cx="568325" cy="512445"/>
            <wp:effectExtent l="0" t="0" r="0" b="0"/>
            <wp:docPr id="3" name="Picture 29" descr="old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ldham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325" cy="512445"/>
                    </a:xfrm>
                    <a:prstGeom prst="rect">
                      <a:avLst/>
                    </a:prstGeom>
                    <a:noFill/>
                    <a:ln>
                      <a:noFill/>
                    </a:ln>
                  </pic:spPr>
                </pic:pic>
              </a:graphicData>
            </a:graphic>
          </wp:inline>
        </w:drawing>
      </w:r>
    </w:p>
    <w:p w14:paraId="15E55A7E" w14:textId="643EE562" w:rsidR="00731CAF" w:rsidRPr="004C7EEC" w:rsidRDefault="004C7EEC">
      <w:pPr>
        <w:jc w:val="both"/>
        <w:rPr>
          <w:b/>
          <w:bCs/>
          <w:color w:val="595959" w:themeColor="text1" w:themeTint="A6"/>
          <w:sz w:val="40"/>
          <w:szCs w:val="40"/>
        </w:rPr>
      </w:pPr>
      <w:r>
        <w:rPr>
          <w:noProof/>
        </w:rPr>
        <mc:AlternateContent>
          <mc:Choice Requires="wps">
            <w:drawing>
              <wp:anchor distT="0" distB="0" distL="114300" distR="114300" simplePos="0" relativeHeight="251658240" behindDoc="0" locked="0" layoutInCell="1" allowOverlap="1" wp14:anchorId="1361B7A7" wp14:editId="14F6BE03">
                <wp:simplePos x="0" y="0"/>
                <wp:positionH relativeFrom="column">
                  <wp:posOffset>-767080</wp:posOffset>
                </wp:positionH>
                <wp:positionV relativeFrom="paragraph">
                  <wp:posOffset>4871720</wp:posOffset>
                </wp:positionV>
                <wp:extent cx="5743575" cy="1200150"/>
                <wp:effectExtent l="0" t="4445"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5C5EC" w14:textId="14EDBA09" w:rsidR="00FB57AD" w:rsidRDefault="004C7EEC">
                            <w:r>
                              <w:rPr>
                                <w:noProof/>
                              </w:rPr>
                              <w:drawing>
                                <wp:inline distT="0" distB="0" distL="0" distR="0" wp14:anchorId="1E3EC5DB" wp14:editId="4BE0B9F8">
                                  <wp:extent cx="1302385" cy="7207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2385" cy="720725"/>
                                          </a:xfrm>
                                          <a:prstGeom prst="rect">
                                            <a:avLst/>
                                          </a:prstGeom>
                                          <a:noFill/>
                                          <a:ln>
                                            <a:noFill/>
                                          </a:ln>
                                        </pic:spPr>
                                      </pic:pic>
                                    </a:graphicData>
                                  </a:graphic>
                                </wp:inline>
                              </w:drawing>
                            </w:r>
                            <w:r w:rsidR="00FB57AD">
                              <w:t xml:space="preserve">   </w:t>
                            </w:r>
                            <w:r>
                              <w:rPr>
                                <w:noProof/>
                              </w:rPr>
                              <w:drawing>
                                <wp:inline distT="0" distB="0" distL="0" distR="0" wp14:anchorId="693927B7" wp14:editId="074B35DD">
                                  <wp:extent cx="1939925" cy="74803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9925" cy="748030"/>
                                          </a:xfrm>
                                          <a:prstGeom prst="rect">
                                            <a:avLst/>
                                          </a:prstGeom>
                                          <a:noFill/>
                                          <a:ln>
                                            <a:noFill/>
                                          </a:ln>
                                        </pic:spPr>
                                      </pic:pic>
                                    </a:graphicData>
                                  </a:graphic>
                                </wp:inline>
                              </w:drawing>
                            </w:r>
                            <w:r w:rsidR="00FB57AD">
                              <w:t xml:space="preserve">  </w:t>
                            </w:r>
                            <w:r>
                              <w:rPr>
                                <w:noProof/>
                              </w:rPr>
                              <w:drawing>
                                <wp:inline distT="0" distB="0" distL="0" distR="0" wp14:anchorId="50B58A6B" wp14:editId="6B5E1FCC">
                                  <wp:extent cx="928370" cy="77597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370" cy="7759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1B7A7" id="_x0000_t202" coordsize="21600,21600" o:spt="202" path="m,l,21600r21600,l21600,xe">
                <v:stroke joinstyle="miter"/>
                <v:path gradientshapeok="t" o:connecttype="rect"/>
              </v:shapetype>
              <v:shape id="Text Box 2" o:spid="_x0000_s1026" type="#_x0000_t202" alt="&quot;&quot;" style="position:absolute;left:0;text-align:left;margin-left:-60.4pt;margin-top:383.6pt;width:452.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" stroked="f">
                <v:textbox>
                  <w:txbxContent>
                    <w:p w14:paraId="5CD5C5EC" w14:textId="14EDBA09" w:rsidR="00FB57AD" w:rsidRDefault="004C7EEC">
                      <w:r>
                        <w:rPr>
                          <w:noProof/>
                        </w:rPr>
                        <w:drawing>
                          <wp:inline distT="0" distB="0" distL="0" distR="0" wp14:anchorId="1E3EC5DB" wp14:editId="4BE0B9F8">
                            <wp:extent cx="1302385" cy="7207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2385" cy="720725"/>
                                    </a:xfrm>
                                    <a:prstGeom prst="rect">
                                      <a:avLst/>
                                    </a:prstGeom>
                                    <a:noFill/>
                                    <a:ln>
                                      <a:noFill/>
                                    </a:ln>
                                  </pic:spPr>
                                </pic:pic>
                              </a:graphicData>
                            </a:graphic>
                          </wp:inline>
                        </w:drawing>
                      </w:r>
                      <w:r w:rsidR="00FB57AD">
                        <w:t xml:space="preserve">   </w:t>
                      </w:r>
                      <w:r>
                        <w:rPr>
                          <w:noProof/>
                        </w:rPr>
                        <w:drawing>
                          <wp:inline distT="0" distB="0" distL="0" distR="0" wp14:anchorId="693927B7" wp14:editId="074B35DD">
                            <wp:extent cx="1939925" cy="74803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9925" cy="748030"/>
                                    </a:xfrm>
                                    <a:prstGeom prst="rect">
                                      <a:avLst/>
                                    </a:prstGeom>
                                    <a:noFill/>
                                    <a:ln>
                                      <a:noFill/>
                                    </a:ln>
                                  </pic:spPr>
                                </pic:pic>
                              </a:graphicData>
                            </a:graphic>
                          </wp:inline>
                        </w:drawing>
                      </w:r>
                      <w:r w:rsidR="00FB57AD">
                        <w:t xml:space="preserve">  </w:t>
                      </w:r>
                      <w:r>
                        <w:rPr>
                          <w:noProof/>
                        </w:rPr>
                        <w:drawing>
                          <wp:inline distT="0" distB="0" distL="0" distR="0" wp14:anchorId="50B58A6B" wp14:editId="6B5E1FCC">
                            <wp:extent cx="928370" cy="77597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370" cy="775970"/>
                                    </a:xfrm>
                                    <a:prstGeom prst="rect">
                                      <a:avLst/>
                                    </a:prstGeom>
                                    <a:noFill/>
                                    <a:ln>
                                      <a:noFill/>
                                    </a:ln>
                                  </pic:spPr>
                                </pic:pic>
                              </a:graphicData>
                            </a:graphic>
                          </wp:inline>
                        </w:drawing>
                      </w:r>
                    </w:p>
                  </w:txbxContent>
                </v:textbox>
              </v:shape>
            </w:pict>
          </mc:Fallback>
        </mc:AlternateContent>
      </w:r>
      <w:r w:rsidR="00731CAF">
        <w:br w:type="page"/>
      </w:r>
      <w:r w:rsidR="00731CAF" w:rsidRPr="004C7EEC">
        <w:rPr>
          <w:b/>
          <w:bCs/>
          <w:color w:val="595959" w:themeColor="text1" w:themeTint="A6"/>
          <w:sz w:val="40"/>
          <w:szCs w:val="40"/>
        </w:rPr>
        <w:lastRenderedPageBreak/>
        <w:t>1</w:t>
      </w:r>
      <w:r w:rsidR="00731CAF" w:rsidRPr="004C7EEC">
        <w:rPr>
          <w:b/>
          <w:bCs/>
          <w:color w:val="595959" w:themeColor="text1" w:themeTint="A6"/>
          <w:sz w:val="40"/>
          <w:szCs w:val="40"/>
        </w:rPr>
        <w:tab/>
        <w:t>Introduction</w:t>
      </w:r>
    </w:p>
    <w:p w14:paraId="1ACD60E1" w14:textId="77777777" w:rsidR="00731CAF" w:rsidRDefault="00731CAF">
      <w:pPr>
        <w:jc w:val="both"/>
        <w:rPr>
          <w:b/>
          <w:bCs/>
          <w:color w:val="33CCCC"/>
          <w:sz w:val="40"/>
          <w:szCs w:val="40"/>
        </w:rPr>
      </w:pPr>
    </w:p>
    <w:p w14:paraId="540A47B1" w14:textId="77777777" w:rsidR="00AA05E3" w:rsidRPr="00A257E6" w:rsidRDefault="00AA05E3" w:rsidP="00AA05E3">
      <w:r w:rsidRPr="00A257E6">
        <w:t>Oldham Lifelong Learning Service is committed to delivering excellent service to learners, whilst continuously improving the way we promote equality and celebrate diversity.</w:t>
      </w:r>
    </w:p>
    <w:p w14:paraId="296D34BB" w14:textId="77777777" w:rsidR="00AA05E3" w:rsidRPr="00A257E6" w:rsidRDefault="00AA05E3" w:rsidP="00AA05E3"/>
    <w:p w14:paraId="5D8CC532" w14:textId="77777777" w:rsidR="00AA05E3" w:rsidRPr="00A257E6" w:rsidRDefault="00AA05E3" w:rsidP="00AA05E3">
      <w:r w:rsidRPr="00A257E6">
        <w:t xml:space="preserve">As part of our </w:t>
      </w:r>
      <w:r w:rsidR="0008782A" w:rsidRPr="00A257E6">
        <w:t>on-going</w:t>
      </w:r>
      <w:r w:rsidRPr="00A257E6">
        <w:t xml:space="preserve"> commitment, we collect relevant equality information about our learners. This information helps us to understand if we are meeting learner needs and how we can improve the services we offer. </w:t>
      </w:r>
    </w:p>
    <w:p w14:paraId="7C75F224" w14:textId="77777777" w:rsidR="00AA05E3" w:rsidRPr="00A257E6" w:rsidRDefault="00AA05E3" w:rsidP="00AA05E3"/>
    <w:p w14:paraId="53D74D42" w14:textId="77777777" w:rsidR="00AA05E3" w:rsidRPr="00A257E6" w:rsidRDefault="00AA05E3" w:rsidP="00AA05E3">
      <w:pPr>
        <w:rPr>
          <w:i/>
        </w:rPr>
      </w:pPr>
      <w:r w:rsidRPr="00A257E6">
        <w:t xml:space="preserve">The Equality Act 2010 replaced previous anti-discriminatory laws with a single Act.  It simplified the law, removing inconsistencies and making it easier for people to understand and comply with.  It also strengthened the law in important ways, </w:t>
      </w:r>
      <w:proofErr w:type="gramStart"/>
      <w:r w:rsidRPr="00A257E6">
        <w:t>in order to</w:t>
      </w:r>
      <w:proofErr w:type="gramEnd"/>
      <w:r w:rsidRPr="00A257E6">
        <w:t xml:space="preserve"> help tackle discrimination and inequality.  </w:t>
      </w:r>
      <w:r w:rsidRPr="00A257E6">
        <w:rPr>
          <w:i/>
        </w:rPr>
        <w:t>(Source: “Equality Act 2010: Specific duties to support the equality duty….”  Government Equalities Office)</w:t>
      </w:r>
    </w:p>
    <w:p w14:paraId="05BBB253" w14:textId="77777777" w:rsidR="00AA05E3" w:rsidRPr="00A257E6" w:rsidRDefault="00AA05E3" w:rsidP="00AA05E3">
      <w:pPr>
        <w:rPr>
          <w:i/>
        </w:rPr>
      </w:pPr>
    </w:p>
    <w:p w14:paraId="0CB4C95C" w14:textId="77777777" w:rsidR="00AA05E3" w:rsidRDefault="00AA05E3" w:rsidP="00AA05E3">
      <w:r w:rsidRPr="00A257E6">
        <w:t>The specific duties of the Equality Act 2010 require the Service, as an Educational Provider, to publish information showing compliance with the Equality Duty, at least annually; and to set and publish equality objectives, at least every four years.</w:t>
      </w:r>
    </w:p>
    <w:p w14:paraId="0E9D9289" w14:textId="77777777" w:rsidR="00AA05E3" w:rsidRDefault="00AA05E3" w:rsidP="00AA05E3"/>
    <w:p w14:paraId="4E0B4984" w14:textId="77777777" w:rsidR="00AA05E3" w:rsidRPr="00A257E6" w:rsidRDefault="00AA05E3" w:rsidP="00AA05E3">
      <w:r w:rsidRPr="00A257E6">
        <w:t xml:space="preserve">This document publishes information which demonstrates that the Service has due regard to the need </w:t>
      </w:r>
      <w:proofErr w:type="gramStart"/>
      <w:r w:rsidRPr="00A257E6">
        <w:t>to:-</w:t>
      </w:r>
      <w:proofErr w:type="gramEnd"/>
    </w:p>
    <w:p w14:paraId="22102C30" w14:textId="77777777" w:rsidR="00AA05E3" w:rsidRPr="00A257E6" w:rsidRDefault="00AA05E3" w:rsidP="00AA05E3">
      <w:pPr>
        <w:numPr>
          <w:ilvl w:val="0"/>
          <w:numId w:val="10"/>
        </w:numPr>
      </w:pPr>
      <w:r w:rsidRPr="00A257E6">
        <w:rPr>
          <w:b/>
        </w:rPr>
        <w:t>eliminate unlawful discrimination</w:t>
      </w:r>
      <w:r w:rsidRPr="00A257E6">
        <w:t xml:space="preserve">, harassment and victimisation and any other conduct prohibited by the </w:t>
      </w:r>
      <w:proofErr w:type="gramStart"/>
      <w:r w:rsidRPr="00A257E6">
        <w:t>Act;</w:t>
      </w:r>
      <w:proofErr w:type="gramEnd"/>
    </w:p>
    <w:p w14:paraId="617C021B" w14:textId="77777777" w:rsidR="00AA05E3" w:rsidRPr="00A257E6" w:rsidRDefault="00AA05E3" w:rsidP="00AA05E3">
      <w:pPr>
        <w:numPr>
          <w:ilvl w:val="0"/>
          <w:numId w:val="10"/>
        </w:numPr>
      </w:pPr>
      <w:r w:rsidRPr="00A257E6">
        <w:rPr>
          <w:b/>
        </w:rPr>
        <w:t>advance equality of opportunity</w:t>
      </w:r>
      <w:r w:rsidRPr="00A257E6">
        <w:t xml:space="preserve"> between people who share a protected characteristic and people who do not share </w:t>
      </w:r>
      <w:proofErr w:type="gramStart"/>
      <w:r w:rsidRPr="00A257E6">
        <w:t>it;</w:t>
      </w:r>
      <w:proofErr w:type="gramEnd"/>
    </w:p>
    <w:p w14:paraId="6D69A963" w14:textId="77777777" w:rsidR="00AA05E3" w:rsidRPr="00A257E6" w:rsidRDefault="00AA05E3" w:rsidP="00AA05E3">
      <w:pPr>
        <w:ind w:left="360"/>
      </w:pPr>
      <w:r w:rsidRPr="00A257E6">
        <w:tab/>
        <w:t>and</w:t>
      </w:r>
    </w:p>
    <w:p w14:paraId="0994242B" w14:textId="77777777" w:rsidR="00AA05E3" w:rsidRPr="00A257E6" w:rsidRDefault="00AA05E3" w:rsidP="00AA05E3">
      <w:pPr>
        <w:numPr>
          <w:ilvl w:val="0"/>
          <w:numId w:val="10"/>
        </w:numPr>
      </w:pPr>
      <w:r w:rsidRPr="00A257E6">
        <w:rPr>
          <w:b/>
        </w:rPr>
        <w:t>foster good relations</w:t>
      </w:r>
      <w:r w:rsidRPr="00A257E6">
        <w:t xml:space="preserve"> between people who share a protected characteristic and people who do not share it.</w:t>
      </w:r>
    </w:p>
    <w:p w14:paraId="133C3A00" w14:textId="77777777" w:rsidR="00AA05E3" w:rsidRPr="00A257E6" w:rsidRDefault="00AA05E3" w:rsidP="00AA05E3"/>
    <w:p w14:paraId="0889C435" w14:textId="77777777" w:rsidR="00AA05E3" w:rsidRPr="00A257E6" w:rsidRDefault="00AA05E3" w:rsidP="00AA05E3">
      <w:r w:rsidRPr="00A257E6">
        <w:t xml:space="preserve">The information the Service currently collects will help inform the Service’s equality objectives as part of the Equality Act 2010.  The Service currently collects information on some of the protected characteristics, namely Race, Gender, Age and Disability. </w:t>
      </w:r>
    </w:p>
    <w:p w14:paraId="2838CD31" w14:textId="77777777" w:rsidR="00AA05E3" w:rsidRPr="00A257E6" w:rsidRDefault="00AA05E3" w:rsidP="00AA05E3"/>
    <w:p w14:paraId="2624A386" w14:textId="77777777" w:rsidR="00AA05E3" w:rsidRPr="00A257E6" w:rsidRDefault="00AA05E3" w:rsidP="00AA05E3">
      <w:r w:rsidRPr="00A257E6">
        <w:t>This summary provides information on participation of learners from some of the protected characteristics as well as their attainment.</w:t>
      </w:r>
    </w:p>
    <w:p w14:paraId="66A21389" w14:textId="77777777" w:rsidR="00AA05E3" w:rsidRPr="00A257E6" w:rsidRDefault="00AA05E3" w:rsidP="00AA05E3"/>
    <w:p w14:paraId="72D45006" w14:textId="77777777" w:rsidR="00AA05E3" w:rsidRPr="00A257E6" w:rsidRDefault="00AA05E3" w:rsidP="00AA05E3">
      <w:r w:rsidRPr="00A257E6">
        <w:t xml:space="preserve">If you have any questions or comments about Oldham Lifelong Learning Service and equality and </w:t>
      </w:r>
      <w:proofErr w:type="gramStart"/>
      <w:r w:rsidRPr="00A257E6">
        <w:t>diversity</w:t>
      </w:r>
      <w:proofErr w:type="gramEnd"/>
      <w:r w:rsidRPr="00A257E6">
        <w:t xml:space="preserve"> please contact:</w:t>
      </w:r>
    </w:p>
    <w:p w14:paraId="560EED8A" w14:textId="77777777" w:rsidR="00AA05E3" w:rsidRPr="00A257E6" w:rsidRDefault="00AA05E3" w:rsidP="00AA05E3"/>
    <w:p w14:paraId="15BBAE9D" w14:textId="77777777" w:rsidR="00AA05E3" w:rsidRPr="00A32B84" w:rsidRDefault="00A32B84" w:rsidP="00AA05E3">
      <w:r w:rsidRPr="00A32B84">
        <w:t>Catherine Irwin – Assistant Head of Service, Lifelong Learning</w:t>
      </w:r>
    </w:p>
    <w:p w14:paraId="5C266A97" w14:textId="77777777" w:rsidR="00A32B84" w:rsidRPr="00A32B84" w:rsidRDefault="00731CAF">
      <w:pPr>
        <w:jc w:val="both"/>
      </w:pPr>
      <w:r w:rsidRPr="00A32B84">
        <w:t xml:space="preserve">0161 770 8056 or </w:t>
      </w:r>
      <w:r w:rsidR="00A32B84" w:rsidRPr="00A32B84">
        <w:fldChar w:fldCharType="begin"/>
      </w:r>
      <w:r w:rsidR="00A32B84" w:rsidRPr="00A32B84">
        <w:instrText xml:space="preserve"> HYPERLINK "mailto:catherine.irwin@oldham.gov.uk</w:instrText>
      </w:r>
    </w:p>
    <w:p w14:paraId="48D40D7A" w14:textId="77777777" w:rsidR="00A32B84" w:rsidRPr="00A32B84" w:rsidRDefault="00A32B84">
      <w:pPr>
        <w:jc w:val="both"/>
        <w:rPr>
          <w:rStyle w:val="Hyperlink"/>
        </w:rPr>
      </w:pPr>
      <w:r w:rsidRPr="00A32B84">
        <w:br w:type="page"/>
        <w:instrText xml:space="preserve">" </w:instrText>
      </w:r>
      <w:r w:rsidRPr="00A32B84">
        <w:fldChar w:fldCharType="separate"/>
      </w:r>
      <w:r w:rsidRPr="00A32B84">
        <w:rPr>
          <w:rStyle w:val="Hyperlink"/>
        </w:rPr>
        <w:t>catherine.irwin@oldham.gov.uk</w:t>
      </w:r>
    </w:p>
    <w:p w14:paraId="0A15ED5F" w14:textId="77777777" w:rsidR="00731CAF" w:rsidRDefault="00A32B84">
      <w:pPr>
        <w:jc w:val="both"/>
        <w:rPr>
          <w:b/>
          <w:bCs/>
          <w:color w:val="33CCCC"/>
          <w:sz w:val="40"/>
          <w:szCs w:val="40"/>
        </w:rPr>
      </w:pPr>
      <w:r w:rsidRPr="00A32B84">
        <w:rPr>
          <w:rStyle w:val="Hyperlink"/>
        </w:rPr>
        <w:br w:type="page"/>
      </w:r>
      <w:r w:rsidRPr="00A32B84">
        <w:lastRenderedPageBreak/>
        <w:fldChar w:fldCharType="end"/>
      </w:r>
      <w:r w:rsidR="00731CAF">
        <w:rPr>
          <w:b/>
          <w:bCs/>
          <w:color w:val="33CCCC"/>
          <w:sz w:val="40"/>
          <w:szCs w:val="40"/>
        </w:rPr>
        <w:t>2</w:t>
      </w:r>
      <w:r w:rsidR="00731CAF">
        <w:rPr>
          <w:b/>
          <w:bCs/>
          <w:color w:val="33CCCC"/>
          <w:sz w:val="40"/>
          <w:szCs w:val="40"/>
        </w:rPr>
        <w:tab/>
        <w:t>The Service</w:t>
      </w:r>
    </w:p>
    <w:p w14:paraId="06400625" w14:textId="77777777" w:rsidR="00731CAF" w:rsidRPr="00731CAF" w:rsidRDefault="00731CAF">
      <w:pPr>
        <w:jc w:val="both"/>
        <w:rPr>
          <w:b/>
          <w:bCs/>
          <w:color w:val="33CCCC"/>
          <w:sz w:val="28"/>
          <w:szCs w:val="28"/>
        </w:rPr>
      </w:pPr>
    </w:p>
    <w:p w14:paraId="6138687F" w14:textId="77777777" w:rsidR="00731CAF" w:rsidRDefault="00731CAF">
      <w:r>
        <w:t>Oldham Lifelong Learning Service is a direct deliverer of post-19 learning opportunities.   The Local Authority is committed to providing learning in the most appropriate and convenient locations for learners.</w:t>
      </w:r>
    </w:p>
    <w:p w14:paraId="4C0DACAC" w14:textId="77777777" w:rsidR="00731CAF" w:rsidRDefault="00731CAF"/>
    <w:p w14:paraId="43A628D6" w14:textId="77777777" w:rsidR="00731CAF" w:rsidRDefault="00731CAF" w:rsidP="00731CAF">
      <w:pPr>
        <w:rPr>
          <w:b/>
        </w:rPr>
      </w:pPr>
      <w:smartTag w:uri="urn:schemas-microsoft-com:office:smarttags" w:element="place">
        <w:smartTag w:uri="urn:schemas-microsoft-com:office:smarttags" w:element="City">
          <w:r w:rsidRPr="006A70D2">
            <w:rPr>
              <w:b/>
            </w:rPr>
            <w:t>Mission</w:t>
          </w:r>
        </w:smartTag>
      </w:smartTag>
    </w:p>
    <w:p w14:paraId="5879783A" w14:textId="77777777" w:rsidR="00731CAF" w:rsidRDefault="00731CAF" w:rsidP="00731CAF">
      <w:pPr>
        <w:ind w:left="720"/>
      </w:pPr>
      <w:r>
        <w:t xml:space="preserve">To deliver high quality, accessible local learning opportunities which enable adults to realise their potential and gain employment by developing their confidence, creativity, </w:t>
      </w:r>
      <w:proofErr w:type="gramStart"/>
      <w:r>
        <w:t>knowledge</w:t>
      </w:r>
      <w:proofErr w:type="gramEnd"/>
      <w:r>
        <w:t xml:space="preserve"> and skills.</w:t>
      </w:r>
    </w:p>
    <w:p w14:paraId="470624C8" w14:textId="77777777" w:rsidR="00731CAF" w:rsidRDefault="00731CAF" w:rsidP="00731CAF"/>
    <w:p w14:paraId="51BDF315" w14:textId="77777777" w:rsidR="00731CAF" w:rsidRDefault="00731CAF" w:rsidP="00731CAF">
      <w:pPr>
        <w:rPr>
          <w:b/>
        </w:rPr>
      </w:pPr>
      <w:r w:rsidRPr="006A70D2">
        <w:rPr>
          <w:b/>
        </w:rPr>
        <w:t>Objectives</w:t>
      </w:r>
    </w:p>
    <w:p w14:paraId="7F235214" w14:textId="77777777" w:rsidR="00731CAF" w:rsidRDefault="00731CAF" w:rsidP="00731CAF">
      <w:pPr>
        <w:rPr>
          <w:b/>
        </w:rPr>
      </w:pPr>
    </w:p>
    <w:p w14:paraId="0910C739" w14:textId="77777777" w:rsidR="00731CAF" w:rsidRDefault="00731CAF" w:rsidP="00731CAF">
      <w:pPr>
        <w:rPr>
          <w:b/>
        </w:rPr>
      </w:pPr>
      <w:r>
        <w:tab/>
      </w:r>
      <w:r w:rsidRPr="006A70D2">
        <w:rPr>
          <w:b/>
        </w:rPr>
        <w:t>Objective 1</w:t>
      </w:r>
    </w:p>
    <w:p w14:paraId="63B79638" w14:textId="77777777" w:rsidR="00731CAF" w:rsidRDefault="00731CAF" w:rsidP="00731CAF">
      <w:pPr>
        <w:ind w:left="720"/>
      </w:pPr>
      <w:r>
        <w:t xml:space="preserve">To provide a relevant and flexibly delivered curriculum as a foundation for lifelong learning to meet the needs of the target groups and to encourage </w:t>
      </w:r>
      <w:r w:rsidR="00A602C3">
        <w:t>non-participating</w:t>
      </w:r>
      <w:r>
        <w:t xml:space="preserve"> adults to return to learning and gain employment.</w:t>
      </w:r>
    </w:p>
    <w:p w14:paraId="150ACB3F" w14:textId="77777777" w:rsidR="00731CAF" w:rsidRDefault="00731CAF" w:rsidP="00731CAF">
      <w:pPr>
        <w:ind w:left="720"/>
      </w:pPr>
    </w:p>
    <w:p w14:paraId="5A23EEC0" w14:textId="77777777" w:rsidR="00731CAF" w:rsidRPr="00360F4F" w:rsidRDefault="00731CAF" w:rsidP="00731CAF">
      <w:pPr>
        <w:ind w:left="720"/>
        <w:rPr>
          <w:b/>
        </w:rPr>
      </w:pPr>
      <w:r w:rsidRPr="00360F4F">
        <w:rPr>
          <w:b/>
        </w:rPr>
        <w:t>Objective 2</w:t>
      </w:r>
    </w:p>
    <w:p w14:paraId="2F8B24CD" w14:textId="77777777" w:rsidR="00731CAF" w:rsidRDefault="00731CAF" w:rsidP="00731CAF">
      <w:pPr>
        <w:ind w:left="720"/>
      </w:pPr>
      <w:r>
        <w:t xml:space="preserve">To maintain the Service’s commitment to quality assurance and continuous improvement </w:t>
      </w:r>
      <w:proofErr w:type="gramStart"/>
      <w:r>
        <w:t>in order to</w:t>
      </w:r>
      <w:proofErr w:type="gramEnd"/>
      <w:r>
        <w:t xml:space="preserve"> deliver a </w:t>
      </w:r>
      <w:r w:rsidR="00C736AD">
        <w:t>high-quality</w:t>
      </w:r>
      <w:r>
        <w:t xml:space="preserve"> service to learners.</w:t>
      </w:r>
    </w:p>
    <w:p w14:paraId="080F9947" w14:textId="77777777" w:rsidR="00731CAF" w:rsidRDefault="00731CAF" w:rsidP="00731CAF">
      <w:pPr>
        <w:ind w:left="720"/>
      </w:pPr>
    </w:p>
    <w:p w14:paraId="5977F33C" w14:textId="77777777" w:rsidR="00731CAF" w:rsidRPr="00360F4F" w:rsidRDefault="00731CAF" w:rsidP="00731CAF">
      <w:pPr>
        <w:ind w:left="720"/>
        <w:rPr>
          <w:b/>
        </w:rPr>
      </w:pPr>
      <w:r w:rsidRPr="00360F4F">
        <w:rPr>
          <w:b/>
        </w:rPr>
        <w:t>Objective 3</w:t>
      </w:r>
    </w:p>
    <w:p w14:paraId="69BB38B5" w14:textId="77777777" w:rsidR="00731CAF" w:rsidRDefault="00731CAF" w:rsidP="00731CAF">
      <w:pPr>
        <w:ind w:left="720"/>
      </w:pPr>
      <w:r>
        <w:t xml:space="preserve">To develop further collaborative partnerships with the statutory sector, voluntary </w:t>
      </w:r>
      <w:proofErr w:type="gramStart"/>
      <w:r>
        <w:t>agencies</w:t>
      </w:r>
      <w:proofErr w:type="gramEnd"/>
      <w:r>
        <w:t xml:space="preserve"> and local communities to ensure coherent provision and progression for users of the service.</w:t>
      </w:r>
    </w:p>
    <w:p w14:paraId="4E7B77E1" w14:textId="77777777" w:rsidR="00731CAF" w:rsidRDefault="00731CAF" w:rsidP="00731CAF">
      <w:pPr>
        <w:ind w:left="720"/>
      </w:pPr>
    </w:p>
    <w:p w14:paraId="71B2E3CD" w14:textId="77777777" w:rsidR="00731CAF" w:rsidRPr="00360F4F" w:rsidRDefault="00731CAF" w:rsidP="00731CAF">
      <w:pPr>
        <w:ind w:left="720"/>
        <w:rPr>
          <w:b/>
        </w:rPr>
      </w:pPr>
      <w:r w:rsidRPr="00360F4F">
        <w:rPr>
          <w:b/>
        </w:rPr>
        <w:t>Objective 4</w:t>
      </w:r>
    </w:p>
    <w:p w14:paraId="76DA3358" w14:textId="77777777" w:rsidR="00731CAF" w:rsidRDefault="00731CAF" w:rsidP="00731CAF">
      <w:pPr>
        <w:ind w:left="720"/>
      </w:pPr>
      <w:r>
        <w:t xml:space="preserve">To consult learners, </w:t>
      </w:r>
      <w:proofErr w:type="gramStart"/>
      <w:r>
        <w:t>partners</w:t>
      </w:r>
      <w:proofErr w:type="gramEnd"/>
      <w:r>
        <w:t xml:space="preserve"> and local communities to ensure provision is responsive and meets identified needs.</w:t>
      </w:r>
    </w:p>
    <w:p w14:paraId="2BF0AB2F" w14:textId="77777777" w:rsidR="00731CAF" w:rsidRDefault="00731CAF" w:rsidP="00731CAF">
      <w:pPr>
        <w:rPr>
          <w:b/>
        </w:rPr>
      </w:pPr>
    </w:p>
    <w:p w14:paraId="4AE3F96C" w14:textId="77777777" w:rsidR="00731CAF" w:rsidRPr="00360F4F" w:rsidRDefault="00731CAF" w:rsidP="00731CAF">
      <w:pPr>
        <w:ind w:left="720"/>
        <w:rPr>
          <w:b/>
        </w:rPr>
      </w:pPr>
      <w:r w:rsidRPr="00360F4F">
        <w:rPr>
          <w:b/>
        </w:rPr>
        <w:t xml:space="preserve">Objective 5 </w:t>
      </w:r>
    </w:p>
    <w:p w14:paraId="26E48BCA" w14:textId="77777777" w:rsidR="00731CAF" w:rsidRDefault="00731CAF" w:rsidP="00731CAF">
      <w:pPr>
        <w:ind w:left="720"/>
      </w:pPr>
      <w:r>
        <w:t xml:space="preserve">To ensure that staff deliver high quality teaching and learning and provide stimulating and challenging opportunities for all learners. </w:t>
      </w:r>
    </w:p>
    <w:p w14:paraId="28D378E9" w14:textId="77777777" w:rsidR="00731CAF" w:rsidRDefault="00731CAF" w:rsidP="00731CAF">
      <w:pPr>
        <w:ind w:left="720"/>
      </w:pPr>
    </w:p>
    <w:p w14:paraId="53D242C8" w14:textId="77777777" w:rsidR="00731CAF" w:rsidRPr="00360F4F" w:rsidRDefault="00731CAF" w:rsidP="00731CAF">
      <w:pPr>
        <w:ind w:left="720"/>
        <w:rPr>
          <w:b/>
        </w:rPr>
      </w:pPr>
      <w:r w:rsidRPr="00360F4F">
        <w:rPr>
          <w:b/>
        </w:rPr>
        <w:t>Objective 6</w:t>
      </w:r>
    </w:p>
    <w:p w14:paraId="4458DF14" w14:textId="77777777" w:rsidR="00731CAF" w:rsidRDefault="00731CAF" w:rsidP="00731CAF">
      <w:pPr>
        <w:ind w:left="720"/>
      </w:pPr>
      <w:r>
        <w:t>To promote the Lifelong Learning Service ensuring that information, advice and guidance, marketing and publicity are relevant and accessible to all learners.</w:t>
      </w:r>
    </w:p>
    <w:p w14:paraId="2072D5BD" w14:textId="77777777" w:rsidR="00731CAF" w:rsidRDefault="00731CAF" w:rsidP="00731CAF">
      <w:pPr>
        <w:ind w:left="720"/>
      </w:pPr>
    </w:p>
    <w:p w14:paraId="707E7478" w14:textId="77777777" w:rsidR="00731CAF" w:rsidRPr="00360F4F" w:rsidRDefault="00731CAF" w:rsidP="00731CAF">
      <w:pPr>
        <w:ind w:left="720"/>
        <w:rPr>
          <w:b/>
        </w:rPr>
      </w:pPr>
      <w:r w:rsidRPr="00360F4F">
        <w:rPr>
          <w:b/>
        </w:rPr>
        <w:t>Objective 7</w:t>
      </w:r>
    </w:p>
    <w:p w14:paraId="3E47245E" w14:textId="77777777" w:rsidR="00731CAF" w:rsidRDefault="00731CAF" w:rsidP="00731CAF">
      <w:pPr>
        <w:ind w:left="720"/>
      </w:pPr>
      <w:r>
        <w:t>To ensure the delivery of a high quality, responsive and accessible service by the provision of appropriate resources.</w:t>
      </w:r>
    </w:p>
    <w:p w14:paraId="4A4AFEE4" w14:textId="77777777" w:rsidR="00731CAF" w:rsidRDefault="00731CAF"/>
    <w:p w14:paraId="3A215B60" w14:textId="77777777" w:rsidR="00731CAF" w:rsidRDefault="00731CAF">
      <w:pPr>
        <w:rPr>
          <w:b/>
        </w:rPr>
      </w:pPr>
      <w:r>
        <w:rPr>
          <w:b/>
        </w:rPr>
        <w:t>Policies and Procedures</w:t>
      </w:r>
    </w:p>
    <w:p w14:paraId="2CBB56F4" w14:textId="77777777" w:rsidR="00731CAF" w:rsidRDefault="00731CAF">
      <w:r>
        <w:t>The Service operates a comprehensive range of policies and procedures including Equal Opportunity &amp; Diversity, Harassment &amp; Bullying, Safeguarding and Complaints.  In addition, the Service assesses the equality impact of all decisions and policies regarding the services they offer.</w:t>
      </w:r>
    </w:p>
    <w:p w14:paraId="2A03A9C1" w14:textId="77777777" w:rsidR="00731CAF" w:rsidRDefault="00731CAF">
      <w:pPr>
        <w:jc w:val="both"/>
        <w:rPr>
          <w:sz w:val="22"/>
          <w:szCs w:val="22"/>
        </w:rPr>
      </w:pPr>
    </w:p>
    <w:p w14:paraId="69942628" w14:textId="77777777" w:rsidR="00731CAF" w:rsidRDefault="00731CAF">
      <w:pPr>
        <w:rPr>
          <w:b/>
          <w:bCs/>
          <w:color w:val="33CCCC"/>
          <w:sz w:val="40"/>
          <w:szCs w:val="40"/>
        </w:rPr>
      </w:pPr>
      <w:r>
        <w:rPr>
          <w:b/>
          <w:bCs/>
          <w:color w:val="33CCCC"/>
          <w:sz w:val="40"/>
          <w:szCs w:val="40"/>
        </w:rPr>
        <w:lastRenderedPageBreak/>
        <w:t>3</w:t>
      </w:r>
      <w:r>
        <w:rPr>
          <w:b/>
          <w:bCs/>
          <w:color w:val="33CCCC"/>
          <w:sz w:val="40"/>
          <w:szCs w:val="40"/>
        </w:rPr>
        <w:tab/>
        <w:t>Equality Data</w:t>
      </w:r>
    </w:p>
    <w:p w14:paraId="7388AC96" w14:textId="77777777" w:rsidR="00731CAF" w:rsidRDefault="00731CAF">
      <w:pPr>
        <w:ind w:left="720"/>
        <w:jc w:val="both"/>
        <w:rPr>
          <w:b/>
          <w:sz w:val="28"/>
          <w:szCs w:val="28"/>
        </w:rPr>
      </w:pPr>
    </w:p>
    <w:p w14:paraId="5D51F173" w14:textId="77777777" w:rsidR="00E724FE" w:rsidRPr="004C7EEC" w:rsidRDefault="00E724FE" w:rsidP="00E724FE">
      <w:pPr>
        <w:rPr>
          <w:color w:val="595959" w:themeColor="text1" w:themeTint="A6"/>
          <w:sz w:val="32"/>
          <w:szCs w:val="32"/>
        </w:rPr>
      </w:pPr>
      <w:r w:rsidRPr="004C7EEC">
        <w:rPr>
          <w:color w:val="595959" w:themeColor="text1" w:themeTint="A6"/>
          <w:sz w:val="32"/>
          <w:szCs w:val="32"/>
        </w:rPr>
        <w:t>Equality Data</w:t>
      </w:r>
    </w:p>
    <w:p w14:paraId="2BA8A577" w14:textId="77777777" w:rsidR="00E724FE" w:rsidRPr="00EE04F4" w:rsidRDefault="00E724FE" w:rsidP="00E724FE">
      <w:pPr>
        <w:jc w:val="both"/>
        <w:rPr>
          <w:b/>
        </w:rPr>
      </w:pPr>
    </w:p>
    <w:p w14:paraId="7FE09427" w14:textId="77777777" w:rsidR="00E724FE" w:rsidRDefault="00E724FE" w:rsidP="00E724FE">
      <w:pPr>
        <w:rPr>
          <w:b/>
        </w:rPr>
      </w:pPr>
      <w:r>
        <w:rPr>
          <w:b/>
        </w:rPr>
        <w:t>3.1 Who uses our Service?  Learners and groups who are protected by the Equality Act 2010</w:t>
      </w:r>
    </w:p>
    <w:p w14:paraId="65A098C6" w14:textId="77777777" w:rsidR="00E724FE" w:rsidRDefault="00E724FE" w:rsidP="00E724FE"/>
    <w:p w14:paraId="5D11C077" w14:textId="77777777" w:rsidR="00E724FE" w:rsidRDefault="00E724FE" w:rsidP="00E724FE">
      <w:r w:rsidRPr="007E0EB6">
        <w:t xml:space="preserve">Learners attend one or more of the following types of courses: </w:t>
      </w:r>
      <w:r w:rsidR="00AF3B29" w:rsidRPr="007E0EB6">
        <w:t>Adult Skills</w:t>
      </w:r>
      <w:r w:rsidRPr="007E0EB6">
        <w:t xml:space="preserve"> (</w:t>
      </w:r>
      <w:r w:rsidR="00AF3B29" w:rsidRPr="007E0EB6">
        <w:t>AS</w:t>
      </w:r>
      <w:r w:rsidRPr="007E0EB6">
        <w:t xml:space="preserve">) and </w:t>
      </w:r>
      <w:r w:rsidR="00AF3B29" w:rsidRPr="007E0EB6">
        <w:t>Community Learning</w:t>
      </w:r>
      <w:r w:rsidR="00936AB6" w:rsidRPr="007E0EB6">
        <w:t xml:space="preserve"> (</w:t>
      </w:r>
      <w:r w:rsidR="00AF3B29" w:rsidRPr="007E0EB6">
        <w:t>CL</w:t>
      </w:r>
      <w:r w:rsidRPr="007E0EB6">
        <w:t>).</w:t>
      </w:r>
    </w:p>
    <w:p w14:paraId="0D117B96" w14:textId="77777777" w:rsidR="00E724FE" w:rsidRDefault="00E724FE" w:rsidP="00E724FE"/>
    <w:p w14:paraId="72BEE19C" w14:textId="77777777" w:rsidR="00E724FE" w:rsidRDefault="00E724FE" w:rsidP="00E724FE">
      <w:pPr>
        <w:rPr>
          <w:b/>
          <w:bCs/>
        </w:rPr>
      </w:pPr>
      <w:r>
        <w:rPr>
          <w:b/>
          <w:bCs/>
        </w:rPr>
        <w:t>3.1.1 Ethnicity</w:t>
      </w:r>
    </w:p>
    <w:p w14:paraId="1FE21FC0" w14:textId="77777777" w:rsidR="00E724FE" w:rsidRDefault="00E724FE" w:rsidP="00E724FE"/>
    <w:p w14:paraId="40E8C8D0" w14:textId="77777777" w:rsidR="00AA05E3" w:rsidRDefault="00AA05E3" w:rsidP="00AA05E3">
      <w:r>
        <w:t xml:space="preserve">In </w:t>
      </w:r>
      <w:r w:rsidR="00FB57AD">
        <w:t>20</w:t>
      </w:r>
      <w:r w:rsidR="007D75F4">
        <w:t xml:space="preserve">20/21 </w:t>
      </w:r>
      <w:r>
        <w:t xml:space="preserve">academic </w:t>
      </w:r>
      <w:r w:rsidR="00DD2747">
        <w:t>year: -</w:t>
      </w:r>
    </w:p>
    <w:p w14:paraId="3D6CB904" w14:textId="77777777" w:rsidR="00A602C3" w:rsidRDefault="00A602C3" w:rsidP="00AA05E3">
      <w:pPr>
        <w:rPr>
          <w:u w:val="single"/>
        </w:rPr>
      </w:pPr>
    </w:p>
    <w:p w14:paraId="0F02A60C" w14:textId="77777777" w:rsidR="00AA05E3" w:rsidRPr="00A34B8A" w:rsidRDefault="007D75F4" w:rsidP="00AA05E3">
      <w:pPr>
        <w:numPr>
          <w:ilvl w:val="0"/>
          <w:numId w:val="9"/>
        </w:numPr>
        <w:ind w:left="709" w:hanging="709"/>
      </w:pPr>
      <w:r w:rsidRPr="00A34B8A">
        <w:t>68</w:t>
      </w:r>
      <w:r w:rsidR="00AA05E3" w:rsidRPr="00A34B8A">
        <w:t xml:space="preserve">% of learners across all provision were from a black and minority ethnic (BME) background </w:t>
      </w:r>
    </w:p>
    <w:p w14:paraId="73A8DACB" w14:textId="77777777" w:rsidR="00AA05E3" w:rsidRPr="00A34B8A" w:rsidRDefault="007D75F4" w:rsidP="00AA05E3">
      <w:pPr>
        <w:numPr>
          <w:ilvl w:val="0"/>
          <w:numId w:val="9"/>
        </w:numPr>
        <w:ind w:left="709" w:hanging="709"/>
      </w:pPr>
      <w:r w:rsidRPr="00A34B8A">
        <w:t>68.7</w:t>
      </w:r>
      <w:r w:rsidR="00AA05E3" w:rsidRPr="00A34B8A">
        <w:t xml:space="preserve">% of learners in </w:t>
      </w:r>
      <w:r w:rsidR="00AF3B29" w:rsidRPr="00A34B8A">
        <w:t>Adult Skills provision</w:t>
      </w:r>
      <w:r w:rsidR="00AA05E3" w:rsidRPr="00A34B8A">
        <w:t xml:space="preserve"> were from a BME background</w:t>
      </w:r>
    </w:p>
    <w:p w14:paraId="2FDEA60B" w14:textId="77777777" w:rsidR="00AA05E3" w:rsidRPr="00A34B8A" w:rsidRDefault="007D75F4" w:rsidP="00AA05E3">
      <w:pPr>
        <w:numPr>
          <w:ilvl w:val="0"/>
          <w:numId w:val="9"/>
        </w:numPr>
        <w:ind w:left="709" w:hanging="709"/>
      </w:pPr>
      <w:r w:rsidRPr="00A34B8A">
        <w:t>72.1</w:t>
      </w:r>
      <w:r w:rsidR="00AA05E3" w:rsidRPr="00A34B8A">
        <w:t xml:space="preserve">% of learners in </w:t>
      </w:r>
      <w:r w:rsidR="00E763DC" w:rsidRPr="00A34B8A">
        <w:t>CL</w:t>
      </w:r>
      <w:r w:rsidR="00AA05E3" w:rsidRPr="00A34B8A">
        <w:t xml:space="preserve"> were from a BME background.</w:t>
      </w:r>
    </w:p>
    <w:p w14:paraId="0B94B70F" w14:textId="77777777" w:rsidR="00AA05E3" w:rsidRDefault="00AA05E3" w:rsidP="00AA05E3"/>
    <w:p w14:paraId="633F83BA" w14:textId="77777777" w:rsidR="00AA05E3" w:rsidRDefault="00AA05E3" w:rsidP="00AA05E3">
      <w:r>
        <w:t xml:space="preserve">The Service provides courses across Oldham and targets learners in the disadvantaged areas of Oldham which have high representation of BME heritage residents.  The Service continues to work in areas of deprivation where the population is largely White-British heritage.  </w:t>
      </w:r>
    </w:p>
    <w:p w14:paraId="16AD6923" w14:textId="77777777" w:rsidR="00AA05E3" w:rsidRDefault="00AA05E3" w:rsidP="00AA05E3"/>
    <w:p w14:paraId="15A73324" w14:textId="77777777" w:rsidR="006C37A8" w:rsidRDefault="00AA05E3" w:rsidP="00AA05E3">
      <w:r>
        <w:t xml:space="preserve">The </w:t>
      </w:r>
      <w:r w:rsidRPr="007F49DD">
        <w:t>20</w:t>
      </w:r>
      <w:r w:rsidR="00745A76">
        <w:t>20</w:t>
      </w:r>
      <w:r>
        <w:t xml:space="preserve"> Population figures show that </w:t>
      </w:r>
      <w:r w:rsidRPr="009F4B26">
        <w:rPr>
          <w:b/>
          <w:bCs/>
        </w:rPr>
        <w:t>7</w:t>
      </w:r>
      <w:r w:rsidR="00E35E4D" w:rsidRPr="009F4B26">
        <w:rPr>
          <w:b/>
          <w:bCs/>
        </w:rPr>
        <w:t>6.6</w:t>
      </w:r>
      <w:r w:rsidRPr="009F4B26">
        <w:rPr>
          <w:b/>
          <w:bCs/>
        </w:rPr>
        <w:t>%</w:t>
      </w:r>
      <w:r>
        <w:t xml:space="preserve"> of Oldham’s population aged 19 and over were from a White Background and </w:t>
      </w:r>
      <w:r w:rsidRPr="009F4B26">
        <w:rPr>
          <w:b/>
          <w:bCs/>
        </w:rPr>
        <w:t>2</w:t>
      </w:r>
      <w:r w:rsidR="009F4B26" w:rsidRPr="009F4B26">
        <w:rPr>
          <w:b/>
          <w:bCs/>
        </w:rPr>
        <w:t>3.4</w:t>
      </w:r>
      <w:r w:rsidRPr="009F4B26">
        <w:rPr>
          <w:b/>
          <w:bCs/>
        </w:rPr>
        <w:t>%</w:t>
      </w:r>
      <w:r>
        <w:t xml:space="preserve"> were from a Black and Minority Ethnic Background</w:t>
      </w:r>
      <w:r w:rsidRPr="006C37A8">
        <w:t>.  However, the BME population in the top 10 most deprived wards in Oldham is 36%.</w:t>
      </w:r>
      <w:r w:rsidR="00E763DC">
        <w:t xml:space="preserve"> </w:t>
      </w:r>
      <w:r w:rsidR="006C37A8">
        <w:t xml:space="preserve"> </w:t>
      </w:r>
      <w:bookmarkStart w:id="0" w:name="_Hlk29559448"/>
    </w:p>
    <w:p w14:paraId="4A61B43C" w14:textId="77777777" w:rsidR="006C37A8" w:rsidRDefault="006C37A8" w:rsidP="00AA05E3"/>
    <w:p w14:paraId="214C3891" w14:textId="77777777" w:rsidR="006C37A8" w:rsidRDefault="006C37A8" w:rsidP="00AA05E3">
      <w:r w:rsidRPr="005A37C6">
        <w:t xml:space="preserve">The Service offers provision in venues in communities with high levels of deprivation. </w:t>
      </w:r>
      <w:r w:rsidR="005A37C6" w:rsidRPr="005A37C6">
        <w:rPr>
          <w:b/>
          <w:bCs/>
        </w:rPr>
        <w:t>51.8</w:t>
      </w:r>
      <w:r w:rsidRPr="005A37C6">
        <w:rPr>
          <w:b/>
          <w:bCs/>
        </w:rPr>
        <w:t>%</w:t>
      </w:r>
      <w:r w:rsidRPr="005A37C6">
        <w:t xml:space="preserve"> (+</w:t>
      </w:r>
      <w:r w:rsidR="005A37C6" w:rsidRPr="005A37C6">
        <w:t>2.8%</w:t>
      </w:r>
      <w:r w:rsidRPr="005A37C6">
        <w:t xml:space="preserve">) of learners across the Service’s courses (from all ethnic backgrounds) came from the </w:t>
      </w:r>
      <w:r w:rsidRPr="005A37C6">
        <w:rPr>
          <w:b/>
          <w:bCs/>
        </w:rPr>
        <w:t>top five most deprived wards</w:t>
      </w:r>
      <w:r w:rsidRPr="005A37C6">
        <w:t xml:space="preserve"> in Oldham as defined by the index of multiple deprivation; </w:t>
      </w:r>
      <w:r w:rsidR="005A37C6" w:rsidRPr="005A37C6">
        <w:rPr>
          <w:b/>
          <w:bCs/>
        </w:rPr>
        <w:t>73.4%</w:t>
      </w:r>
      <w:r w:rsidRPr="005A37C6">
        <w:t xml:space="preserve"> (+</w:t>
      </w:r>
      <w:r w:rsidR="005A37C6" w:rsidRPr="005A37C6">
        <w:t>3.6</w:t>
      </w:r>
      <w:r w:rsidRPr="005A37C6">
        <w:t xml:space="preserve">%) of our learners came from the </w:t>
      </w:r>
      <w:r w:rsidRPr="005A37C6">
        <w:rPr>
          <w:b/>
          <w:bCs/>
        </w:rPr>
        <w:t>top 10 most deprived wards in Oldham</w:t>
      </w:r>
      <w:r w:rsidRPr="005A37C6">
        <w:t>.  In addition,</w:t>
      </w:r>
      <w:r w:rsidR="005A37C6" w:rsidRPr="005A37C6">
        <w:rPr>
          <w:b/>
          <w:bCs/>
        </w:rPr>
        <w:t>77.1</w:t>
      </w:r>
      <w:r w:rsidRPr="005A37C6">
        <w:rPr>
          <w:b/>
          <w:bCs/>
        </w:rPr>
        <w:t>%</w:t>
      </w:r>
      <w:r w:rsidRPr="005A37C6">
        <w:t xml:space="preserve"> (+</w:t>
      </w:r>
      <w:r w:rsidR="005A37C6" w:rsidRPr="005A37C6">
        <w:t>3.6</w:t>
      </w:r>
      <w:r w:rsidRPr="005A37C6">
        <w:t xml:space="preserve">%) of our learners had a home </w:t>
      </w:r>
      <w:r w:rsidRPr="005A37C6">
        <w:rPr>
          <w:b/>
          <w:bCs/>
        </w:rPr>
        <w:t>postcode</w:t>
      </w:r>
      <w:r w:rsidRPr="005A37C6">
        <w:t xml:space="preserve"> that appeared in the </w:t>
      </w:r>
      <w:r w:rsidRPr="005A37C6">
        <w:rPr>
          <w:b/>
          <w:bCs/>
        </w:rPr>
        <w:t>disadvantage uplift table</w:t>
      </w:r>
      <w:r w:rsidRPr="005A37C6">
        <w:t>.</w:t>
      </w:r>
      <w:r w:rsidRPr="006C37A8">
        <w:t xml:space="preserve">  </w:t>
      </w:r>
    </w:p>
    <w:p w14:paraId="0422D331" w14:textId="77777777" w:rsidR="005A37C6" w:rsidRDefault="005A37C6" w:rsidP="00AA05E3"/>
    <w:bookmarkEnd w:id="0"/>
    <w:p w14:paraId="470CC156" w14:textId="77777777" w:rsidR="00E724FE" w:rsidRDefault="00E724FE" w:rsidP="00E724FE">
      <w:r>
        <w:t xml:space="preserve"> </w:t>
      </w:r>
    </w:p>
    <w:p w14:paraId="4F61E578" w14:textId="77777777" w:rsidR="00E724FE" w:rsidRDefault="00E724FE" w:rsidP="00E724FE">
      <w:pPr>
        <w:rPr>
          <w:b/>
          <w:bCs/>
        </w:rPr>
      </w:pPr>
      <w:r>
        <w:rPr>
          <w:b/>
          <w:bCs/>
        </w:rPr>
        <w:t>3.1.2 Gender</w:t>
      </w:r>
      <w:r w:rsidR="00202678">
        <w:rPr>
          <w:b/>
          <w:bCs/>
        </w:rPr>
        <w:t xml:space="preserve"> </w:t>
      </w:r>
    </w:p>
    <w:p w14:paraId="79AD15A4" w14:textId="77777777" w:rsidR="00E724FE" w:rsidRDefault="00E724FE" w:rsidP="00E724FE"/>
    <w:p w14:paraId="002427BF" w14:textId="77777777" w:rsidR="00AA05E3" w:rsidRDefault="00AA05E3" w:rsidP="00AA05E3">
      <w:r>
        <w:t xml:space="preserve">In </w:t>
      </w:r>
      <w:r w:rsidR="00FB57AD">
        <w:t>20</w:t>
      </w:r>
      <w:r w:rsidR="007D75F4">
        <w:t>20/21</w:t>
      </w:r>
      <w:r>
        <w:t xml:space="preserve"> academic </w:t>
      </w:r>
      <w:proofErr w:type="gramStart"/>
      <w:r>
        <w:t>year;</w:t>
      </w:r>
      <w:proofErr w:type="gramEnd"/>
    </w:p>
    <w:p w14:paraId="061584E9" w14:textId="77777777" w:rsidR="00AA05E3" w:rsidRDefault="00AA05E3" w:rsidP="00AA05E3"/>
    <w:p w14:paraId="02988CCE" w14:textId="77777777" w:rsidR="00AA05E3" w:rsidRPr="00A34B8A" w:rsidRDefault="00FB57AD" w:rsidP="008C1F38">
      <w:pPr>
        <w:numPr>
          <w:ilvl w:val="0"/>
          <w:numId w:val="9"/>
        </w:numPr>
        <w:ind w:left="0" w:firstLine="0"/>
      </w:pPr>
      <w:r w:rsidRPr="00A34B8A">
        <w:t>2</w:t>
      </w:r>
      <w:r w:rsidR="00BE6EC0" w:rsidRPr="00A34B8A">
        <w:t>0.</w:t>
      </w:r>
      <w:r w:rsidR="002F47A4" w:rsidRPr="00A34B8A">
        <w:t>25</w:t>
      </w:r>
      <w:r w:rsidR="00AA05E3" w:rsidRPr="00A34B8A">
        <w:t xml:space="preserve">% of learners across all provision were male </w:t>
      </w:r>
      <w:r w:rsidR="00BE6EC0" w:rsidRPr="00A34B8A">
        <w:t xml:space="preserve">and </w:t>
      </w:r>
      <w:r w:rsidRPr="00A34B8A">
        <w:t>7</w:t>
      </w:r>
      <w:r w:rsidR="00BE6EC0" w:rsidRPr="00A34B8A">
        <w:t>9.</w:t>
      </w:r>
      <w:r w:rsidR="002F47A4" w:rsidRPr="00A34B8A">
        <w:t>75</w:t>
      </w:r>
      <w:r w:rsidR="000F20FB" w:rsidRPr="00A34B8A">
        <w:t>%</w:t>
      </w:r>
      <w:r w:rsidR="00AA05E3" w:rsidRPr="00A34B8A">
        <w:t xml:space="preserve"> were female</w:t>
      </w:r>
    </w:p>
    <w:p w14:paraId="315E787D" w14:textId="77777777" w:rsidR="00AA05E3" w:rsidRPr="00A34B8A" w:rsidRDefault="00FB57AD" w:rsidP="00AA05E3">
      <w:pPr>
        <w:numPr>
          <w:ilvl w:val="0"/>
          <w:numId w:val="9"/>
        </w:numPr>
        <w:ind w:left="0" w:firstLine="0"/>
      </w:pPr>
      <w:r w:rsidRPr="00A34B8A">
        <w:t>2</w:t>
      </w:r>
      <w:r w:rsidR="007D75F4" w:rsidRPr="00A34B8A">
        <w:t>0.</w:t>
      </w:r>
      <w:r w:rsidR="00932F0E">
        <w:t>34</w:t>
      </w:r>
      <w:r w:rsidR="00BE6EC0" w:rsidRPr="00A34B8A">
        <w:t>%</w:t>
      </w:r>
      <w:r w:rsidR="00AA05E3" w:rsidRPr="00A34B8A">
        <w:t xml:space="preserve"> of learners in </w:t>
      </w:r>
      <w:r w:rsidR="000F20FB" w:rsidRPr="00A34B8A">
        <w:t>AS</w:t>
      </w:r>
      <w:r w:rsidR="00AA05E3" w:rsidRPr="00A34B8A">
        <w:t xml:space="preserve"> were male; </w:t>
      </w:r>
      <w:r w:rsidRPr="00A34B8A">
        <w:t>7</w:t>
      </w:r>
      <w:r w:rsidR="007D75F4" w:rsidRPr="00A34B8A">
        <w:t>9.</w:t>
      </w:r>
      <w:r w:rsidR="00932F0E">
        <w:t>66</w:t>
      </w:r>
      <w:r w:rsidR="00AA05E3" w:rsidRPr="00A34B8A">
        <w:t>% were female</w:t>
      </w:r>
    </w:p>
    <w:p w14:paraId="1041292D" w14:textId="77777777" w:rsidR="00AA05E3" w:rsidRPr="00A34B8A" w:rsidRDefault="00F514A8" w:rsidP="00AA05E3">
      <w:pPr>
        <w:numPr>
          <w:ilvl w:val="0"/>
          <w:numId w:val="9"/>
        </w:numPr>
        <w:ind w:left="0" w:firstLine="0"/>
      </w:pPr>
      <w:r w:rsidRPr="00A34B8A">
        <w:t>18.8</w:t>
      </w:r>
      <w:r w:rsidR="00932F0E">
        <w:t>4</w:t>
      </w:r>
      <w:r w:rsidR="000F20FB" w:rsidRPr="00A34B8A">
        <w:t>%</w:t>
      </w:r>
      <w:r w:rsidR="00AA05E3" w:rsidRPr="00A34B8A">
        <w:t xml:space="preserve"> of learners in </w:t>
      </w:r>
      <w:r w:rsidR="000F20FB" w:rsidRPr="00A34B8A">
        <w:t>CL</w:t>
      </w:r>
      <w:r w:rsidR="00AA05E3" w:rsidRPr="00A34B8A">
        <w:t xml:space="preserve"> were male; </w:t>
      </w:r>
      <w:r w:rsidR="00BE6EC0" w:rsidRPr="00A34B8A">
        <w:t>8</w:t>
      </w:r>
      <w:r w:rsidRPr="00A34B8A">
        <w:t>1.</w:t>
      </w:r>
      <w:r w:rsidR="00932F0E">
        <w:t>16</w:t>
      </w:r>
      <w:r w:rsidR="00AA05E3" w:rsidRPr="00A34B8A">
        <w:t>% were female</w:t>
      </w:r>
    </w:p>
    <w:p w14:paraId="2ED55DF1" w14:textId="77777777" w:rsidR="00AA05E3" w:rsidRDefault="00AA05E3" w:rsidP="00AA05E3"/>
    <w:p w14:paraId="4A81C20A" w14:textId="77777777" w:rsidR="00AA05E3" w:rsidRDefault="00AA05E3" w:rsidP="00AA05E3"/>
    <w:p w14:paraId="6EFDCB27" w14:textId="77777777" w:rsidR="00062F2F" w:rsidRPr="00ED5F36" w:rsidRDefault="00AA05E3" w:rsidP="00AA05E3">
      <w:pPr>
        <w:rPr>
          <w:b/>
          <w:bCs/>
        </w:rPr>
      </w:pPr>
      <w:r w:rsidRPr="009F4B26">
        <w:t>The 20</w:t>
      </w:r>
      <w:r w:rsidR="00745A76" w:rsidRPr="009F4B26">
        <w:t>20</w:t>
      </w:r>
      <w:r w:rsidRPr="009F4B26">
        <w:t xml:space="preserve"> Population Projections indicate that Oldham had a total population of </w:t>
      </w:r>
      <w:r w:rsidR="009F4B26" w:rsidRPr="009F4B26">
        <w:rPr>
          <w:b/>
          <w:bCs/>
        </w:rPr>
        <w:t>180,32</w:t>
      </w:r>
      <w:r w:rsidR="00C23610">
        <w:rPr>
          <w:b/>
          <w:bCs/>
        </w:rPr>
        <w:t>1</w:t>
      </w:r>
      <w:r w:rsidRPr="009F4B26">
        <w:rPr>
          <w:b/>
          <w:bCs/>
        </w:rPr>
        <w:t xml:space="preserve"> residents aged 19 or over</w:t>
      </w:r>
      <w:r w:rsidRPr="000329F7">
        <w:t xml:space="preserve">.  Of this population, </w:t>
      </w:r>
      <w:r w:rsidRPr="000329F7">
        <w:rPr>
          <w:b/>
          <w:bCs/>
        </w:rPr>
        <w:t>4</w:t>
      </w:r>
      <w:r w:rsidR="000329F7" w:rsidRPr="000329F7">
        <w:rPr>
          <w:b/>
          <w:bCs/>
        </w:rPr>
        <w:t>8</w:t>
      </w:r>
      <w:r w:rsidRPr="000329F7">
        <w:rPr>
          <w:b/>
          <w:bCs/>
        </w:rPr>
        <w:t>% of Oldham’s population were male and 5</w:t>
      </w:r>
      <w:r w:rsidR="000329F7" w:rsidRPr="000329F7">
        <w:rPr>
          <w:b/>
          <w:bCs/>
        </w:rPr>
        <w:t>2</w:t>
      </w:r>
      <w:r w:rsidRPr="000329F7">
        <w:rPr>
          <w:b/>
          <w:bCs/>
        </w:rPr>
        <w:t xml:space="preserve">% were female. </w:t>
      </w:r>
    </w:p>
    <w:p w14:paraId="196788FD" w14:textId="77777777" w:rsidR="00EB774F" w:rsidRPr="00A34B8A" w:rsidRDefault="00EB774F" w:rsidP="00EB774F">
      <w:r w:rsidRPr="00A34B8A">
        <w:lastRenderedPageBreak/>
        <w:t>Nationally, m</w:t>
      </w:r>
      <w:r w:rsidR="00062F2F" w:rsidRPr="00A34B8A">
        <w:t xml:space="preserve">en continue to be </w:t>
      </w:r>
      <w:r w:rsidR="00AA05E3" w:rsidRPr="00A34B8A">
        <w:t>traditionally under-represented in Adult and Community Learning</w:t>
      </w:r>
      <w:r w:rsidRPr="00A34B8A">
        <w:t>.</w:t>
      </w:r>
      <w:r w:rsidR="00AA05E3" w:rsidRPr="00A34B8A">
        <w:t xml:space="preserve">  </w:t>
      </w:r>
      <w:r w:rsidRPr="00A34B8A">
        <w:t xml:space="preserve">Recent RCU data (done on behalf of the DfE) shows that in 2018/19 academic year; there was 28% male representation in AEB and 27% in ACL provision. In 19/20; 21.31% of Lifelong </w:t>
      </w:r>
      <w:r w:rsidR="00235926" w:rsidRPr="00A34B8A">
        <w:t>L</w:t>
      </w:r>
      <w:r w:rsidRPr="00A34B8A">
        <w:t xml:space="preserve">earning learners in AEB were male </w:t>
      </w:r>
      <w:r w:rsidR="00F514A8" w:rsidRPr="00A34B8A">
        <w:t xml:space="preserve">in 20/21 this fell slightly to 20.25%. </w:t>
      </w:r>
    </w:p>
    <w:p w14:paraId="33FF0217" w14:textId="77777777" w:rsidR="00AA05E3" w:rsidRPr="00A34B8A" w:rsidRDefault="00AA05E3" w:rsidP="00AA05E3"/>
    <w:p w14:paraId="58FFFE53" w14:textId="77777777" w:rsidR="00AA05E3" w:rsidRDefault="00AA05E3" w:rsidP="00AA05E3">
      <w:r w:rsidRPr="00A34B8A">
        <w:t xml:space="preserve">The Service </w:t>
      </w:r>
      <w:r w:rsidR="00DB0C06" w:rsidRPr="00A34B8A">
        <w:t xml:space="preserve">continually explores </w:t>
      </w:r>
      <w:r w:rsidRPr="00A34B8A">
        <w:t xml:space="preserve">the potential reasons for </w:t>
      </w:r>
      <w:r w:rsidR="00DB0C06" w:rsidRPr="00A34B8A">
        <w:t xml:space="preserve">the </w:t>
      </w:r>
      <w:r w:rsidRPr="00A34B8A">
        <w:t xml:space="preserve">shortfall in male participation target and </w:t>
      </w:r>
      <w:r w:rsidR="00361E2E" w:rsidRPr="00A34B8A">
        <w:t>maintains</w:t>
      </w:r>
      <w:r w:rsidR="00DB0C06" w:rsidRPr="00A34B8A">
        <w:t xml:space="preserve"> focused </w:t>
      </w:r>
      <w:r w:rsidRPr="00A34B8A">
        <w:t>st</w:t>
      </w:r>
      <w:r w:rsidR="00FB57AD" w:rsidRPr="00A34B8A">
        <w:t xml:space="preserve">rategies to address </w:t>
      </w:r>
      <w:r w:rsidR="00DB0C06" w:rsidRPr="00A34B8A">
        <w:t>this</w:t>
      </w:r>
      <w:r w:rsidR="00361E2E" w:rsidRPr="00A34B8A">
        <w:t>.</w:t>
      </w:r>
      <w:r w:rsidR="00361E2E">
        <w:t xml:space="preserve">  </w:t>
      </w:r>
    </w:p>
    <w:p w14:paraId="6FCCAB6A" w14:textId="77777777" w:rsidR="00E724FE" w:rsidRDefault="00E724FE" w:rsidP="00E724FE"/>
    <w:p w14:paraId="19D8E59D" w14:textId="77777777" w:rsidR="00E724FE" w:rsidRDefault="00E724FE" w:rsidP="00E724FE">
      <w:pPr>
        <w:rPr>
          <w:b/>
        </w:rPr>
      </w:pPr>
      <w:r>
        <w:rPr>
          <w:b/>
        </w:rPr>
        <w:t>3.1.3 Age</w:t>
      </w:r>
    </w:p>
    <w:p w14:paraId="30ED854A" w14:textId="77777777" w:rsidR="00E724FE" w:rsidRDefault="00E724FE" w:rsidP="00E724FE"/>
    <w:p w14:paraId="231F25C7" w14:textId="77777777" w:rsidR="00AA05E3" w:rsidRPr="008B73F3" w:rsidRDefault="00AA05E3" w:rsidP="00AA05E3">
      <w:r>
        <w:t xml:space="preserve">The Service statistics show that people of all ages accessed the service.  </w:t>
      </w:r>
      <w:r w:rsidRPr="008B73F3">
        <w:t>The age profile of our learners continues to compare well with the age range of the total population.</w:t>
      </w:r>
      <w:r w:rsidR="00013737">
        <w:t xml:space="preserve"> </w:t>
      </w:r>
      <w:r w:rsidR="00C23610">
        <w:t>(</w:t>
      </w:r>
      <w:r w:rsidR="00C23610" w:rsidRPr="007F49DD">
        <w:t>20</w:t>
      </w:r>
      <w:r w:rsidR="00C23610">
        <w:t>20 Population figures)</w:t>
      </w:r>
    </w:p>
    <w:p w14:paraId="7CF8F81D" w14:textId="77777777" w:rsidR="00AA05E3" w:rsidRPr="008B73F3" w:rsidRDefault="00AA05E3" w:rsidP="00AA05E3"/>
    <w:p w14:paraId="765372E8" w14:textId="77777777" w:rsidR="00AA05E3" w:rsidRPr="00A34B8A" w:rsidRDefault="00932F0E" w:rsidP="00AA05E3">
      <w:pPr>
        <w:numPr>
          <w:ilvl w:val="0"/>
          <w:numId w:val="9"/>
        </w:numPr>
        <w:ind w:left="0" w:firstLine="0"/>
      </w:pPr>
      <w:r>
        <w:t>7.24</w:t>
      </w:r>
      <w:r w:rsidR="00A34B8A" w:rsidRPr="00A34B8A">
        <w:t>%</w:t>
      </w:r>
      <w:r w:rsidR="00AA05E3" w:rsidRPr="00A34B8A">
        <w:t xml:space="preserve"> of learners were aged 19 – 24 (Oldham – </w:t>
      </w:r>
      <w:r w:rsidR="00C23610" w:rsidRPr="00A34B8A">
        <w:t>9.9</w:t>
      </w:r>
      <w:r w:rsidR="00AA05E3" w:rsidRPr="00A34B8A">
        <w:t>%)</w:t>
      </w:r>
    </w:p>
    <w:p w14:paraId="7A6C3094" w14:textId="77777777" w:rsidR="00AA05E3" w:rsidRPr="00A34B8A" w:rsidRDefault="00AA05E3" w:rsidP="00AA05E3">
      <w:pPr>
        <w:numPr>
          <w:ilvl w:val="0"/>
          <w:numId w:val="9"/>
        </w:numPr>
        <w:ind w:left="0" w:firstLine="0"/>
      </w:pPr>
      <w:r w:rsidRPr="00A34B8A">
        <w:t>2</w:t>
      </w:r>
      <w:r w:rsidR="00932F0E">
        <w:t>6.39</w:t>
      </w:r>
      <w:r w:rsidRPr="00A34B8A">
        <w:t xml:space="preserve">% were aged 25 – 34 (Oldham – </w:t>
      </w:r>
      <w:r w:rsidR="00C23610" w:rsidRPr="00A34B8A">
        <w:t>18.6</w:t>
      </w:r>
      <w:r w:rsidRPr="00A34B8A">
        <w:t>%)</w:t>
      </w:r>
    </w:p>
    <w:p w14:paraId="2390992D" w14:textId="77777777" w:rsidR="00AA05E3" w:rsidRPr="00A34B8A" w:rsidRDefault="00013737" w:rsidP="00AA05E3">
      <w:pPr>
        <w:numPr>
          <w:ilvl w:val="0"/>
          <w:numId w:val="9"/>
        </w:numPr>
        <w:ind w:left="0" w:firstLine="0"/>
      </w:pPr>
      <w:r w:rsidRPr="00A34B8A">
        <w:t>3</w:t>
      </w:r>
      <w:r w:rsidR="00A34B8A" w:rsidRPr="00A34B8A">
        <w:t>4.</w:t>
      </w:r>
      <w:r w:rsidR="00932F0E">
        <w:t>7</w:t>
      </w:r>
      <w:r w:rsidR="00A34B8A" w:rsidRPr="00A34B8A">
        <w:t>3</w:t>
      </w:r>
      <w:r w:rsidR="00AA05E3" w:rsidRPr="00A34B8A">
        <w:t xml:space="preserve">% were aged 35 – 44 (Oldham – </w:t>
      </w:r>
      <w:r w:rsidR="00C23610" w:rsidRPr="00A34B8A">
        <w:t>16.9</w:t>
      </w:r>
      <w:r w:rsidR="00AA05E3" w:rsidRPr="00A34B8A">
        <w:t>%)</w:t>
      </w:r>
    </w:p>
    <w:p w14:paraId="7D510D1D" w14:textId="77777777" w:rsidR="00AA05E3" w:rsidRPr="00A34B8A" w:rsidRDefault="00932F0E" w:rsidP="00AA05E3">
      <w:pPr>
        <w:numPr>
          <w:ilvl w:val="0"/>
          <w:numId w:val="9"/>
        </w:numPr>
        <w:ind w:left="0" w:firstLine="0"/>
      </w:pPr>
      <w:r>
        <w:t>18.11</w:t>
      </w:r>
      <w:r w:rsidR="00AA05E3" w:rsidRPr="00A34B8A">
        <w:t>% were aged 45 – 54 (Oldham – 1</w:t>
      </w:r>
      <w:r w:rsidR="00C23610" w:rsidRPr="00A34B8A">
        <w:t>7.4</w:t>
      </w:r>
      <w:r w:rsidR="00AA05E3" w:rsidRPr="00A34B8A">
        <w:t>%)</w:t>
      </w:r>
    </w:p>
    <w:p w14:paraId="29711376" w14:textId="77777777" w:rsidR="00AA05E3" w:rsidRPr="00A34B8A" w:rsidRDefault="00932F0E" w:rsidP="00AA05E3">
      <w:pPr>
        <w:numPr>
          <w:ilvl w:val="0"/>
          <w:numId w:val="9"/>
        </w:numPr>
        <w:ind w:left="0" w:firstLine="0"/>
      </w:pPr>
      <w:r>
        <w:t>8.99</w:t>
      </w:r>
      <w:r w:rsidR="00AA05E3" w:rsidRPr="00A34B8A">
        <w:t>% were aged 55 – 64 (Oldham – 1</w:t>
      </w:r>
      <w:r w:rsidR="00C23610" w:rsidRPr="00A34B8A">
        <w:t>5.4</w:t>
      </w:r>
      <w:r w:rsidR="00AA05E3" w:rsidRPr="00A34B8A">
        <w:t>%)</w:t>
      </w:r>
    </w:p>
    <w:p w14:paraId="72046E81" w14:textId="77777777" w:rsidR="00AA05E3" w:rsidRPr="00A34B8A" w:rsidRDefault="00932F0E" w:rsidP="00AA05E3">
      <w:pPr>
        <w:numPr>
          <w:ilvl w:val="0"/>
          <w:numId w:val="9"/>
        </w:numPr>
        <w:ind w:left="0" w:firstLine="0"/>
      </w:pPr>
      <w:r>
        <w:t>3.62</w:t>
      </w:r>
      <w:r w:rsidR="00AA05E3" w:rsidRPr="00A34B8A">
        <w:t>% were aged 65+ (Oldham – 21</w:t>
      </w:r>
      <w:r w:rsidR="00C23610" w:rsidRPr="00A34B8A">
        <w:t>.7</w:t>
      </w:r>
      <w:r w:rsidR="00AA05E3" w:rsidRPr="00A34B8A">
        <w:t>%)</w:t>
      </w:r>
    </w:p>
    <w:p w14:paraId="2F10467F" w14:textId="77777777" w:rsidR="000F20FB" w:rsidRDefault="000F20FB" w:rsidP="00E724FE"/>
    <w:p w14:paraId="1E6D44E4" w14:textId="77777777" w:rsidR="00E724FE" w:rsidRDefault="00E724FE" w:rsidP="00E724FE">
      <w:pPr>
        <w:rPr>
          <w:b/>
          <w:bCs/>
        </w:rPr>
      </w:pPr>
      <w:r>
        <w:rPr>
          <w:b/>
          <w:bCs/>
        </w:rPr>
        <w:t xml:space="preserve">3.1.4 </w:t>
      </w:r>
      <w:r w:rsidR="00A031CD">
        <w:rPr>
          <w:b/>
          <w:bCs/>
        </w:rPr>
        <w:t xml:space="preserve">Declared </w:t>
      </w:r>
      <w:r>
        <w:rPr>
          <w:b/>
          <w:bCs/>
        </w:rPr>
        <w:t>Disability</w:t>
      </w:r>
      <w:r w:rsidR="00A031CD">
        <w:rPr>
          <w:b/>
          <w:bCs/>
        </w:rPr>
        <w:t xml:space="preserve"> / LDD</w:t>
      </w:r>
    </w:p>
    <w:p w14:paraId="60F88EA1" w14:textId="77777777" w:rsidR="00E724FE" w:rsidRDefault="00E724FE" w:rsidP="00E724FE"/>
    <w:p w14:paraId="3A84B258" w14:textId="77777777" w:rsidR="00AA05E3" w:rsidRPr="0022723A" w:rsidRDefault="00AA05E3" w:rsidP="00AA05E3">
      <w:pPr>
        <w:numPr>
          <w:ilvl w:val="0"/>
          <w:numId w:val="9"/>
        </w:numPr>
        <w:ind w:left="0" w:firstLine="0"/>
      </w:pPr>
      <w:bookmarkStart w:id="1" w:name="_Hlk27476520"/>
      <w:r w:rsidRPr="0022723A">
        <w:t>2</w:t>
      </w:r>
      <w:r w:rsidR="00932F0E">
        <w:t>1.99</w:t>
      </w:r>
      <w:r w:rsidR="00013737">
        <w:t>%</w:t>
      </w:r>
      <w:r w:rsidRPr="0022723A">
        <w:t xml:space="preserve"> of learners across all provision declared a disability / LDD</w:t>
      </w:r>
    </w:p>
    <w:p w14:paraId="0FBABD7A" w14:textId="77777777" w:rsidR="00AA05E3" w:rsidRPr="0022723A" w:rsidRDefault="00013737" w:rsidP="00AA05E3">
      <w:pPr>
        <w:numPr>
          <w:ilvl w:val="0"/>
          <w:numId w:val="9"/>
        </w:numPr>
        <w:ind w:left="0" w:firstLine="0"/>
      </w:pPr>
      <w:r>
        <w:t>2</w:t>
      </w:r>
      <w:r w:rsidR="00932F0E">
        <w:t>1.48</w:t>
      </w:r>
      <w:r w:rsidR="00AA05E3" w:rsidRPr="0022723A">
        <w:t xml:space="preserve"> of learners in </w:t>
      </w:r>
      <w:r w:rsidR="00630A49">
        <w:t>AS</w:t>
      </w:r>
      <w:r w:rsidR="00AA05E3" w:rsidRPr="0022723A">
        <w:t xml:space="preserve"> declared a disability / LDD</w:t>
      </w:r>
    </w:p>
    <w:p w14:paraId="0A03AD31" w14:textId="77777777" w:rsidR="00AA05E3" w:rsidRDefault="008172B2" w:rsidP="00AA05E3">
      <w:pPr>
        <w:numPr>
          <w:ilvl w:val="0"/>
          <w:numId w:val="9"/>
        </w:numPr>
        <w:ind w:left="0" w:firstLine="0"/>
      </w:pPr>
      <w:r>
        <w:t>2</w:t>
      </w:r>
      <w:r w:rsidR="00932F0E">
        <w:t>2.62</w:t>
      </w:r>
      <w:r w:rsidR="00FD0C23">
        <w:t>%</w:t>
      </w:r>
      <w:r w:rsidR="00AA05E3">
        <w:t xml:space="preserve"> of learners in </w:t>
      </w:r>
      <w:r w:rsidR="00630A49">
        <w:t>CL</w:t>
      </w:r>
      <w:r w:rsidR="00AA05E3">
        <w:t xml:space="preserve"> declared a disability / LDD</w:t>
      </w:r>
    </w:p>
    <w:p w14:paraId="4A17E94C" w14:textId="77777777" w:rsidR="00AA05E3" w:rsidRDefault="00AA05E3" w:rsidP="00AA05E3"/>
    <w:p w14:paraId="125DE0CE" w14:textId="77777777" w:rsidR="00AA05E3" w:rsidRDefault="00AA05E3" w:rsidP="00AA05E3">
      <w:r w:rsidRPr="005A37C6">
        <w:t>Adult (19+) demographic summary of FE and skills participation (2015/16) data showed that 16% of learners aged 19+ declared a learning difficulty / disability</w:t>
      </w:r>
      <w:r w:rsidRPr="005A37C6">
        <w:rPr>
          <w:rStyle w:val="FootnoteReference"/>
        </w:rPr>
        <w:t xml:space="preserve"> </w:t>
      </w:r>
      <w:r w:rsidRPr="005A37C6">
        <w:rPr>
          <w:rStyle w:val="FootnoteReference"/>
        </w:rPr>
        <w:footnoteReference w:id="1"/>
      </w:r>
      <w:r w:rsidR="00013737">
        <w:t xml:space="preserve">  </w:t>
      </w:r>
    </w:p>
    <w:bookmarkEnd w:id="1"/>
    <w:p w14:paraId="3685EA4C" w14:textId="77777777" w:rsidR="00E724FE" w:rsidRDefault="00E724FE" w:rsidP="00E724FE">
      <w:pPr>
        <w:rPr>
          <w:b/>
          <w:bCs/>
        </w:rPr>
      </w:pPr>
    </w:p>
    <w:p w14:paraId="4A7A2692" w14:textId="77777777" w:rsidR="00E724FE" w:rsidRPr="00C85F73" w:rsidRDefault="00E724FE" w:rsidP="00E724FE">
      <w:pPr>
        <w:rPr>
          <w:b/>
          <w:bCs/>
        </w:rPr>
      </w:pPr>
      <w:r w:rsidRPr="00C85F73">
        <w:rPr>
          <w:b/>
          <w:bCs/>
        </w:rPr>
        <w:t xml:space="preserve">3.1.5 Supported Learners </w:t>
      </w:r>
    </w:p>
    <w:p w14:paraId="4B269B63" w14:textId="77777777" w:rsidR="00E724FE" w:rsidRPr="00C85F73" w:rsidRDefault="00E724FE" w:rsidP="00E724FE">
      <w:pPr>
        <w:rPr>
          <w:sz w:val="20"/>
          <w:szCs w:val="20"/>
        </w:rPr>
      </w:pPr>
    </w:p>
    <w:p w14:paraId="2323F178" w14:textId="77777777" w:rsidR="00AA05E3" w:rsidRPr="00C85F73" w:rsidRDefault="00AA05E3" w:rsidP="00AA05E3">
      <w:r w:rsidRPr="00C85F73">
        <w:t xml:space="preserve">These are learners who are assisted by either the Learning Support Team or external support.  Supported learners receive a wide range of support. A supported learner may have a Learning Support Worker in the </w:t>
      </w:r>
      <w:proofErr w:type="gramStart"/>
      <w:r w:rsidRPr="00C85F73">
        <w:t>classroom</w:t>
      </w:r>
      <w:proofErr w:type="gramEnd"/>
      <w:r w:rsidRPr="00C85F73">
        <w:t xml:space="preserve"> or they may have one session with their tutor and the Worker to plan how course materials can be adapted to suit their requirements. Support is also provided through specialist resources and assistive technology</w:t>
      </w:r>
      <w:r w:rsidR="00A400CF" w:rsidRPr="00C85F73">
        <w:t>.</w:t>
      </w:r>
      <w:r w:rsidR="00013737" w:rsidRPr="00C85F73">
        <w:t xml:space="preserve"> </w:t>
      </w:r>
    </w:p>
    <w:p w14:paraId="34F34D87" w14:textId="77777777" w:rsidR="00AA05E3" w:rsidRPr="00932F0E" w:rsidRDefault="00AA05E3" w:rsidP="00AA05E3">
      <w:pPr>
        <w:rPr>
          <w:sz w:val="20"/>
          <w:szCs w:val="20"/>
          <w:highlight w:val="yellow"/>
        </w:rPr>
      </w:pPr>
    </w:p>
    <w:p w14:paraId="74F21213" w14:textId="77777777" w:rsidR="00AA05E3" w:rsidRPr="00C85F73" w:rsidRDefault="00C85F73" w:rsidP="00AA05E3">
      <w:pPr>
        <w:numPr>
          <w:ilvl w:val="0"/>
          <w:numId w:val="9"/>
        </w:numPr>
        <w:ind w:left="0" w:firstLine="0"/>
      </w:pPr>
      <w:r w:rsidRPr="00C85F73">
        <w:t>8.6</w:t>
      </w:r>
      <w:r w:rsidR="00AA05E3" w:rsidRPr="00C85F73">
        <w:t xml:space="preserve">% of learners across all provision were supported. </w:t>
      </w:r>
      <w:r w:rsidRPr="00C85F73">
        <w:t>(11.77% previous year)</w:t>
      </w:r>
    </w:p>
    <w:p w14:paraId="05AC6189" w14:textId="77777777" w:rsidR="00AA05E3" w:rsidRPr="00775AE7" w:rsidRDefault="00AA05E3" w:rsidP="00AA05E3">
      <w:pPr>
        <w:numPr>
          <w:ilvl w:val="0"/>
          <w:numId w:val="9"/>
        </w:numPr>
        <w:ind w:left="0" w:firstLine="0"/>
      </w:pPr>
      <w:r w:rsidRPr="00775AE7">
        <w:t>1</w:t>
      </w:r>
      <w:r w:rsidR="00C85F73">
        <w:t>3.78</w:t>
      </w:r>
      <w:r w:rsidRPr="00775AE7">
        <w:t xml:space="preserve">% of learners in </w:t>
      </w:r>
      <w:r w:rsidR="0047619E" w:rsidRPr="00775AE7">
        <w:t>AS</w:t>
      </w:r>
      <w:r w:rsidRPr="00775AE7">
        <w:t xml:space="preserve"> courses were supported</w:t>
      </w:r>
      <w:r w:rsidR="00C85F73">
        <w:t xml:space="preserve"> (14.07 previous year)</w:t>
      </w:r>
    </w:p>
    <w:p w14:paraId="41267759" w14:textId="77777777" w:rsidR="00AA05E3" w:rsidRPr="00775AE7" w:rsidRDefault="00C85F73" w:rsidP="00AA05E3">
      <w:pPr>
        <w:numPr>
          <w:ilvl w:val="0"/>
          <w:numId w:val="9"/>
        </w:numPr>
        <w:ind w:left="0" w:firstLine="0"/>
      </w:pPr>
      <w:r>
        <w:t>8.86</w:t>
      </w:r>
      <w:r w:rsidR="00AA05E3" w:rsidRPr="00775AE7">
        <w:t xml:space="preserve">% of learners in </w:t>
      </w:r>
      <w:r w:rsidR="0047619E" w:rsidRPr="00775AE7">
        <w:t>CL</w:t>
      </w:r>
      <w:r w:rsidR="00AA05E3" w:rsidRPr="00775AE7">
        <w:t xml:space="preserve"> were supported </w:t>
      </w:r>
      <w:r>
        <w:t>(5.54% previous year)</w:t>
      </w:r>
    </w:p>
    <w:p w14:paraId="7BBD5C1B" w14:textId="77777777" w:rsidR="00AA05E3" w:rsidRPr="006A2F72" w:rsidRDefault="00AA05E3" w:rsidP="00AA05E3">
      <w:pPr>
        <w:rPr>
          <w:sz w:val="20"/>
          <w:szCs w:val="20"/>
        </w:rPr>
      </w:pPr>
    </w:p>
    <w:p w14:paraId="2A8382A7" w14:textId="77777777" w:rsidR="00AA05E3" w:rsidRDefault="00AA05E3" w:rsidP="00AA05E3">
      <w:r>
        <w:t>The balance of supported learners</w:t>
      </w:r>
      <w:r w:rsidR="00C85F73">
        <w:t xml:space="preserve"> changed due to the pandemic as some vocational courses were changed to Community learning courses.  This enabled learners to continue with their learning but removed the ‘</w:t>
      </w:r>
      <w:r w:rsidR="008B6F93">
        <w:t xml:space="preserve">pressure/implications’ of vocational exams or course work submission. The consistent volume of learners supported on </w:t>
      </w:r>
      <w:r>
        <w:lastRenderedPageBreak/>
        <w:t xml:space="preserve">vocational courses shows that supported learners </w:t>
      </w:r>
      <w:r w:rsidR="008B6F93">
        <w:t>continue to be</w:t>
      </w:r>
      <w:r>
        <w:t xml:space="preserve"> fully integrated into qualification courses, which is a key aim of the Learning Support function.</w:t>
      </w:r>
    </w:p>
    <w:p w14:paraId="12380A7A" w14:textId="77777777" w:rsidR="00AA05E3" w:rsidRDefault="00AA05E3" w:rsidP="00AA05E3"/>
    <w:p w14:paraId="0AF69A94" w14:textId="77777777" w:rsidR="00E724FE" w:rsidRDefault="00E724FE" w:rsidP="00E724FE">
      <w:pPr>
        <w:rPr>
          <w:b/>
          <w:bCs/>
        </w:rPr>
      </w:pPr>
      <w:r>
        <w:rPr>
          <w:b/>
          <w:bCs/>
        </w:rPr>
        <w:t>3.1.6 Deprivation</w:t>
      </w:r>
    </w:p>
    <w:p w14:paraId="3194D258" w14:textId="77777777" w:rsidR="00807B80" w:rsidRDefault="00807B80" w:rsidP="00E724FE"/>
    <w:p w14:paraId="355644C0" w14:textId="77777777" w:rsidR="005A37C6" w:rsidRDefault="00902C06" w:rsidP="00E724FE">
      <w:r w:rsidRPr="00496311">
        <w:t xml:space="preserve">The Service offers provision in venues in communities with high levels of deprivation. </w:t>
      </w:r>
      <w:r w:rsidR="005A37C6" w:rsidRPr="005A37C6">
        <w:t>51.8%</w:t>
      </w:r>
      <w:r w:rsidRPr="00496311">
        <w:t xml:space="preserve"> of learners across the Service’s courses (from all ethnic backgrounds) came from the top five most deprived wards in Oldham as defined by the index of multiple </w:t>
      </w:r>
      <w:r w:rsidRPr="00807B80">
        <w:t xml:space="preserve">deprivation; </w:t>
      </w:r>
      <w:r w:rsidR="005A37C6" w:rsidRPr="005A37C6">
        <w:t>73.4</w:t>
      </w:r>
      <w:r w:rsidRPr="005A37C6">
        <w:t>% of our learners came from the top 10 most deprived wards in Oldham.</w:t>
      </w:r>
      <w:r w:rsidR="00062F2F" w:rsidRPr="005A37C6">
        <w:t xml:space="preserve"> </w:t>
      </w:r>
      <w:bookmarkStart w:id="2" w:name="_Hlk29559814"/>
      <w:r w:rsidRPr="005A37C6">
        <w:t xml:space="preserve">In addition, </w:t>
      </w:r>
      <w:r w:rsidR="00807B80" w:rsidRPr="005A37C6">
        <w:t>7</w:t>
      </w:r>
      <w:r w:rsidR="005A37C6" w:rsidRPr="005A37C6">
        <w:t>7.1</w:t>
      </w:r>
      <w:r w:rsidRPr="005A37C6">
        <w:t>% of our learners had a home postcode that appeared in the disadvantage uplift table.</w:t>
      </w:r>
      <w:bookmarkEnd w:id="2"/>
      <w:r w:rsidR="00062F2F" w:rsidRPr="00496311">
        <w:t xml:space="preserve"> </w:t>
      </w:r>
    </w:p>
    <w:p w14:paraId="499837DE" w14:textId="77777777" w:rsidR="00DD2747" w:rsidRDefault="00DD2747" w:rsidP="00E724FE"/>
    <w:p w14:paraId="6FA40960" w14:textId="77777777" w:rsidR="00C054E4" w:rsidRDefault="00C054E4" w:rsidP="00E724FE">
      <w:pPr>
        <w:rPr>
          <w:b/>
          <w:bCs/>
        </w:rPr>
      </w:pPr>
      <w:r w:rsidRPr="00C054E4">
        <w:rPr>
          <w:b/>
          <w:bCs/>
        </w:rPr>
        <w:t>3.1.7 Concession</w:t>
      </w:r>
    </w:p>
    <w:p w14:paraId="03089DE4" w14:textId="77777777" w:rsidR="00C054E4" w:rsidRDefault="00C054E4" w:rsidP="00E724FE">
      <w:pPr>
        <w:rPr>
          <w:b/>
          <w:bCs/>
        </w:rPr>
      </w:pPr>
    </w:p>
    <w:p w14:paraId="7C9DEA99" w14:textId="77777777" w:rsidR="00C054E4" w:rsidRPr="00C054E4" w:rsidRDefault="00C054E4" w:rsidP="00E724FE">
      <w:r w:rsidRPr="00C054E4">
        <w:t xml:space="preserve">Across </w:t>
      </w:r>
      <w:r w:rsidRPr="00C054E4">
        <w:rPr>
          <w:b/>
          <w:bCs/>
        </w:rPr>
        <w:t>all provision</w:t>
      </w:r>
      <w:r w:rsidRPr="00C054E4">
        <w:t xml:space="preserve"> the following concessions </w:t>
      </w:r>
      <w:r w:rsidR="005A37C6" w:rsidRPr="00C054E4">
        <w:t>applied: -</w:t>
      </w:r>
    </w:p>
    <w:p w14:paraId="513DE752" w14:textId="77777777" w:rsidR="00C054E4" w:rsidRDefault="00C054E4" w:rsidP="00E724FE">
      <w:r w:rsidRPr="00C054E4">
        <w:t xml:space="preserve">10.48% </w:t>
      </w:r>
      <w:r w:rsidR="00B32DF9">
        <w:t xml:space="preserve">(162) </w:t>
      </w:r>
      <w:r>
        <w:t>Free course</w:t>
      </w:r>
    </w:p>
    <w:p w14:paraId="4EE00962" w14:textId="77777777" w:rsidR="00C054E4" w:rsidRDefault="00C054E4" w:rsidP="00E724FE">
      <w:r>
        <w:t xml:space="preserve">5.69% </w:t>
      </w:r>
      <w:r w:rsidR="00B32DF9">
        <w:t>(88) N</w:t>
      </w:r>
      <w:r>
        <w:t>o concession</w:t>
      </w:r>
    </w:p>
    <w:p w14:paraId="03D4D138" w14:textId="77777777" w:rsidR="00C054E4" w:rsidRDefault="00C054E4" w:rsidP="00E724FE">
      <w:r>
        <w:t xml:space="preserve">8.67% </w:t>
      </w:r>
      <w:r w:rsidR="00B32DF9">
        <w:t xml:space="preserve">(134) </w:t>
      </w:r>
      <w:r>
        <w:t>Government entitlement (Maths, English)</w:t>
      </w:r>
    </w:p>
    <w:p w14:paraId="166AF1F1" w14:textId="77777777" w:rsidR="00C054E4" w:rsidRDefault="00C054E4" w:rsidP="00E724FE">
      <w:r>
        <w:t>61.58%</w:t>
      </w:r>
      <w:r w:rsidR="00B32DF9">
        <w:t xml:space="preserve"> (952)</w:t>
      </w:r>
      <w:r>
        <w:t xml:space="preserve"> Benefits </w:t>
      </w:r>
    </w:p>
    <w:p w14:paraId="1FD05E8E" w14:textId="77777777" w:rsidR="00C054E4" w:rsidRDefault="00C054E4" w:rsidP="00E724FE">
      <w:r>
        <w:t>13.58%</w:t>
      </w:r>
      <w:r w:rsidR="00B32DF9">
        <w:t xml:space="preserve"> (210)</w:t>
      </w:r>
      <w:r>
        <w:t xml:space="preserve"> Low wage </w:t>
      </w:r>
    </w:p>
    <w:p w14:paraId="17C82350" w14:textId="77777777" w:rsidR="00C054E4" w:rsidRDefault="00C054E4" w:rsidP="00E724FE"/>
    <w:p w14:paraId="73FF709A" w14:textId="77777777" w:rsidR="00C054E4" w:rsidRPr="00C054E4" w:rsidRDefault="00C054E4" w:rsidP="00C054E4">
      <w:r w:rsidRPr="00C054E4">
        <w:t xml:space="preserve">Across </w:t>
      </w:r>
      <w:r>
        <w:rPr>
          <w:b/>
          <w:bCs/>
        </w:rPr>
        <w:t>Adult skills</w:t>
      </w:r>
      <w:r w:rsidRPr="00C054E4">
        <w:t xml:space="preserve"> the following concessions </w:t>
      </w:r>
      <w:r w:rsidR="005A37C6" w:rsidRPr="00C054E4">
        <w:t>applied: -</w:t>
      </w:r>
    </w:p>
    <w:p w14:paraId="298FBB28" w14:textId="77777777" w:rsidR="00C054E4" w:rsidRDefault="00C054E4" w:rsidP="00C054E4">
      <w:r>
        <w:t>0.1</w:t>
      </w:r>
      <w:r w:rsidRPr="00C054E4">
        <w:t>%</w:t>
      </w:r>
      <w:r w:rsidR="00B32DF9">
        <w:t xml:space="preserve"> (1)</w:t>
      </w:r>
      <w:r w:rsidRPr="00C054E4">
        <w:t xml:space="preserve"> </w:t>
      </w:r>
      <w:r>
        <w:t>Free course</w:t>
      </w:r>
    </w:p>
    <w:p w14:paraId="0A0BC713" w14:textId="77777777" w:rsidR="00C054E4" w:rsidRDefault="00C054E4" w:rsidP="00C054E4">
      <w:r>
        <w:t xml:space="preserve">2% </w:t>
      </w:r>
      <w:r w:rsidR="00B32DF9">
        <w:t xml:space="preserve">(21) </w:t>
      </w:r>
      <w:r>
        <w:t>No concession</w:t>
      </w:r>
    </w:p>
    <w:p w14:paraId="00E0D9B4" w14:textId="77777777" w:rsidR="00C054E4" w:rsidRDefault="00C054E4" w:rsidP="00C054E4">
      <w:r>
        <w:t xml:space="preserve">14.16% </w:t>
      </w:r>
      <w:r w:rsidR="00B32DF9">
        <w:t xml:space="preserve">(149) </w:t>
      </w:r>
      <w:r>
        <w:t>Government entitlement (Maths, English)</w:t>
      </w:r>
    </w:p>
    <w:p w14:paraId="4D0C91E7" w14:textId="77777777" w:rsidR="00C054E4" w:rsidRDefault="00C054E4" w:rsidP="00C054E4">
      <w:r>
        <w:t>63.88%</w:t>
      </w:r>
      <w:r w:rsidR="00B32DF9">
        <w:t xml:space="preserve"> (672)</w:t>
      </w:r>
      <w:r>
        <w:t xml:space="preserve"> Benefits </w:t>
      </w:r>
    </w:p>
    <w:p w14:paraId="764617A5" w14:textId="77777777" w:rsidR="00C054E4" w:rsidRDefault="00C054E4" w:rsidP="00C054E4">
      <w:r>
        <w:t>19.87%</w:t>
      </w:r>
      <w:r w:rsidR="00B32DF9">
        <w:t xml:space="preserve"> (209)</w:t>
      </w:r>
      <w:r>
        <w:t xml:space="preserve"> Low wage</w:t>
      </w:r>
    </w:p>
    <w:p w14:paraId="7A05FA3E" w14:textId="77777777" w:rsidR="00C054E4" w:rsidRDefault="00C054E4" w:rsidP="00E724FE">
      <w:pPr>
        <w:rPr>
          <w:b/>
          <w:bCs/>
        </w:rPr>
      </w:pPr>
    </w:p>
    <w:p w14:paraId="525E0C8A" w14:textId="77777777" w:rsidR="00B32DF9" w:rsidRPr="00C054E4" w:rsidRDefault="00B32DF9" w:rsidP="00B32DF9">
      <w:r w:rsidRPr="00C054E4">
        <w:t xml:space="preserve">Across </w:t>
      </w:r>
      <w:r>
        <w:rPr>
          <w:b/>
          <w:bCs/>
        </w:rPr>
        <w:t>Community Learning</w:t>
      </w:r>
      <w:r w:rsidRPr="00C054E4">
        <w:t xml:space="preserve"> the following concessions </w:t>
      </w:r>
      <w:r w:rsidR="005A37C6" w:rsidRPr="00C054E4">
        <w:t>applied: -</w:t>
      </w:r>
    </w:p>
    <w:p w14:paraId="7D13F940" w14:textId="77777777" w:rsidR="00B32DF9" w:rsidRDefault="00B32DF9" w:rsidP="00B32DF9">
      <w:r>
        <w:t>26.49% (329)</w:t>
      </w:r>
      <w:r w:rsidRPr="00C054E4">
        <w:t xml:space="preserve"> </w:t>
      </w:r>
      <w:r>
        <w:t>Free course</w:t>
      </w:r>
    </w:p>
    <w:p w14:paraId="024DF468" w14:textId="77777777" w:rsidR="00B32DF9" w:rsidRDefault="00B32DF9" w:rsidP="00B32DF9">
      <w:r>
        <w:t>9.82% (122) No concession</w:t>
      </w:r>
    </w:p>
    <w:p w14:paraId="03A5D97B" w14:textId="77777777" w:rsidR="00B32DF9" w:rsidRDefault="00B32DF9" w:rsidP="00B32DF9">
      <w:r>
        <w:t>0.48% (6) Government entitlement (Maths, English)</w:t>
      </w:r>
    </w:p>
    <w:p w14:paraId="0C94F0CC" w14:textId="77777777" w:rsidR="00B32DF9" w:rsidRDefault="00B32DF9" w:rsidP="00B32DF9">
      <w:r>
        <w:t xml:space="preserve">63.2% (785) Benefits </w:t>
      </w:r>
    </w:p>
    <w:p w14:paraId="48E6738D" w14:textId="77777777" w:rsidR="00C054E4" w:rsidRDefault="00B32DF9" w:rsidP="00E724FE">
      <w:r>
        <w:t>0% Low wage</w:t>
      </w:r>
    </w:p>
    <w:p w14:paraId="4BEBD4AC" w14:textId="77777777" w:rsidR="00C054E4" w:rsidRDefault="00C054E4" w:rsidP="00E724FE"/>
    <w:p w14:paraId="314AA560" w14:textId="77777777" w:rsidR="00E724FE" w:rsidRDefault="00E724FE" w:rsidP="00E724FE">
      <w:pPr>
        <w:rPr>
          <w:b/>
          <w:bCs/>
        </w:rPr>
      </w:pPr>
      <w:r>
        <w:rPr>
          <w:b/>
          <w:bCs/>
        </w:rPr>
        <w:t xml:space="preserve">3.2 How well do learners from different backgrounds achieve? </w:t>
      </w:r>
    </w:p>
    <w:p w14:paraId="17B71404" w14:textId="77777777" w:rsidR="00E724FE" w:rsidRPr="006A2F72" w:rsidRDefault="00E724FE" w:rsidP="00E724FE">
      <w:pPr>
        <w:rPr>
          <w:sz w:val="20"/>
          <w:szCs w:val="20"/>
        </w:rPr>
      </w:pPr>
    </w:p>
    <w:p w14:paraId="6587A382" w14:textId="77777777" w:rsidR="00AA05E3" w:rsidRDefault="00AA05E3" w:rsidP="00AA05E3">
      <w:pPr>
        <w:rPr>
          <w:sz w:val="20"/>
          <w:szCs w:val="20"/>
        </w:rPr>
      </w:pPr>
      <w:r>
        <w:t xml:space="preserve">Oldham Lifelong Learning Service monitors whether learners complete their </w:t>
      </w:r>
      <w:proofErr w:type="gramStart"/>
      <w:r>
        <w:t>course, if</w:t>
      </w:r>
      <w:proofErr w:type="gramEnd"/>
      <w:r>
        <w:t xml:space="preserve"> they pass their exam or achieve their learning outcome at the end of the course. This statistic is called the </w:t>
      </w:r>
      <w:r w:rsidRPr="004B6FE9">
        <w:t>Achievement</w:t>
      </w:r>
      <w:r>
        <w:t xml:space="preserve"> rate.</w:t>
      </w:r>
      <w:r w:rsidR="004B6FE9" w:rsidRPr="006A2F72">
        <w:rPr>
          <w:sz w:val="20"/>
          <w:szCs w:val="20"/>
        </w:rPr>
        <w:t xml:space="preserve"> </w:t>
      </w:r>
    </w:p>
    <w:p w14:paraId="1F98AC10" w14:textId="77777777" w:rsidR="004B6FE9" w:rsidRPr="006A2F72" w:rsidRDefault="004B6FE9" w:rsidP="00AA05E3">
      <w:pPr>
        <w:rPr>
          <w:sz w:val="20"/>
          <w:szCs w:val="20"/>
        </w:rPr>
      </w:pPr>
    </w:p>
    <w:p w14:paraId="3F0DA2A0" w14:textId="77777777" w:rsidR="004B6FE9" w:rsidRDefault="00AA05E3" w:rsidP="00AA05E3">
      <w:r>
        <w:t xml:space="preserve">The Service continues to monitor achievement rates by equality groups.  It looks at how successful different equality groups are, for example how successful are men compared to women. It also looks at learners grouped together by ethnicity, gender, disability, age, concessionary status, and supported learners.  The overall Service data for </w:t>
      </w:r>
      <w:r w:rsidR="00FB57AD" w:rsidRPr="004B6FE9">
        <w:t>20</w:t>
      </w:r>
      <w:r w:rsidR="008B6F93">
        <w:t>20/21</w:t>
      </w:r>
      <w:r w:rsidRPr="004B6FE9">
        <w:t xml:space="preserve"> shows that </w:t>
      </w:r>
      <w:proofErr w:type="gramStart"/>
      <w:r w:rsidR="004B6FE9" w:rsidRPr="004B6FE9">
        <w:t>the majority of</w:t>
      </w:r>
      <w:proofErr w:type="gramEnd"/>
      <w:r w:rsidRPr="004B6FE9">
        <w:t xml:space="preserve"> learners are achieving as well as their peers.  There were no trends by equality groups that caused concern</w:t>
      </w:r>
      <w:r w:rsidR="004B6FE9" w:rsidRPr="004B6FE9">
        <w:t>.</w:t>
      </w:r>
    </w:p>
    <w:p w14:paraId="0924B28A" w14:textId="77777777" w:rsidR="00FF6CCC" w:rsidRDefault="00FF6CCC" w:rsidP="00AA05E3">
      <w:pPr>
        <w:rPr>
          <w:sz w:val="20"/>
          <w:szCs w:val="20"/>
        </w:rPr>
      </w:pPr>
    </w:p>
    <w:p w14:paraId="5FE20683" w14:textId="77777777" w:rsidR="00AA05E3" w:rsidRDefault="00AA05E3" w:rsidP="00AA05E3">
      <w:r>
        <w:t>If significant variances are identified as part of the Service’s Monitoring process, an action plan is put in place to ensure that the reason for the variance is identified and that relevant actions are taken to ensure that the gap is narrowed.</w:t>
      </w:r>
    </w:p>
    <w:p w14:paraId="7D20BA22" w14:textId="77777777" w:rsidR="00E724FE" w:rsidRDefault="00E724FE" w:rsidP="00E724FE">
      <w:pPr>
        <w:rPr>
          <w:b/>
          <w:bCs/>
        </w:rPr>
      </w:pPr>
      <w:r>
        <w:rPr>
          <w:b/>
          <w:bCs/>
        </w:rPr>
        <w:lastRenderedPageBreak/>
        <w:t xml:space="preserve">3.3 Learner satisfaction </w:t>
      </w:r>
    </w:p>
    <w:p w14:paraId="6B91B5CA" w14:textId="77777777" w:rsidR="00E724FE" w:rsidRDefault="00E724FE" w:rsidP="00E724FE"/>
    <w:p w14:paraId="4FF807EF" w14:textId="77777777" w:rsidR="00AA05E3" w:rsidRDefault="00AA05E3" w:rsidP="00AA05E3">
      <w:r>
        <w:t xml:space="preserve">The Service’s Learner Satisfaction Survey gives more detail about how satisfied learners are with the Service.  </w:t>
      </w:r>
      <w:r w:rsidR="004B6FE9">
        <w:t>In last year’s survey, t</w:t>
      </w:r>
      <w:r>
        <w:t xml:space="preserve">he proportion of learners by equality group who completed the Survey compares well to the proportion of learners by equality group who learn with us. </w:t>
      </w:r>
    </w:p>
    <w:p w14:paraId="795537E8" w14:textId="77777777" w:rsidR="00AA05E3" w:rsidRDefault="00AA05E3" w:rsidP="00AA05E3"/>
    <w:p w14:paraId="554EC88D" w14:textId="77777777" w:rsidR="00AA05E3" w:rsidRDefault="00AA05E3" w:rsidP="00AA05E3">
      <w:r w:rsidRPr="00775AE7">
        <w:t xml:space="preserve">In </w:t>
      </w:r>
      <w:r w:rsidR="00FB57AD" w:rsidRPr="00775AE7">
        <w:t>201</w:t>
      </w:r>
      <w:r w:rsidR="00775AE7" w:rsidRPr="00775AE7">
        <w:t>8/19</w:t>
      </w:r>
      <w:r w:rsidRPr="00775AE7">
        <w:t xml:space="preserve">, </w:t>
      </w:r>
      <w:r w:rsidR="00E21397" w:rsidRPr="00775AE7">
        <w:t>9</w:t>
      </w:r>
      <w:r w:rsidR="00775AE7" w:rsidRPr="00775AE7">
        <w:t>7</w:t>
      </w:r>
      <w:r w:rsidR="00E21397" w:rsidRPr="00775AE7">
        <w:t>%</w:t>
      </w:r>
      <w:r w:rsidRPr="00775AE7">
        <w:t xml:space="preserve"> learners stated that they were extremely likely / lik</w:t>
      </w:r>
      <w:r w:rsidR="00E21397" w:rsidRPr="00775AE7">
        <w:t>ely to recommend the Service (</w:t>
      </w:r>
      <w:r w:rsidR="00775AE7" w:rsidRPr="00775AE7">
        <w:t>872</w:t>
      </w:r>
      <w:r w:rsidRPr="00775AE7">
        <w:t xml:space="preserve"> responses</w:t>
      </w:r>
      <w:r w:rsidRPr="00210E00">
        <w:t>, ESFA satisfaction survey)</w:t>
      </w:r>
    </w:p>
    <w:p w14:paraId="4A709A12" w14:textId="77777777" w:rsidR="004B6FE9" w:rsidRDefault="004B6FE9" w:rsidP="00AA05E3"/>
    <w:p w14:paraId="5CD37E01" w14:textId="77777777" w:rsidR="004B6FE9" w:rsidRDefault="004B6FE9" w:rsidP="00AA05E3">
      <w:r>
        <w:t xml:space="preserve">In 2019/20 </w:t>
      </w:r>
      <w:r w:rsidR="008B6F93">
        <w:t xml:space="preserve">and 2020/21 </w:t>
      </w:r>
      <w:r>
        <w:t>due to Covid-19, the ESFA survey was not carried out. Our own internal surveys and learner voice comments are extremely positive and demonstrate that learners are happy with their course</w:t>
      </w:r>
      <w:r w:rsidR="005855D1">
        <w:t xml:space="preserve">.  Learners were positive about the service response to Covid-19 and how </w:t>
      </w:r>
      <w:r>
        <w:t>Lifelong Learning</w:t>
      </w:r>
      <w:r w:rsidR="005855D1">
        <w:t xml:space="preserve"> kept them continually updated and supported learners to continue learning throughout the year</w:t>
      </w:r>
      <w:r>
        <w:t>.</w:t>
      </w:r>
    </w:p>
    <w:p w14:paraId="3895C18F" w14:textId="77777777" w:rsidR="00AA05E3" w:rsidRDefault="00AA05E3" w:rsidP="00AA05E3"/>
    <w:p w14:paraId="642F5294" w14:textId="77777777" w:rsidR="00AA05E3" w:rsidRDefault="00AA05E3" w:rsidP="00AA05E3">
      <w:r>
        <w:t xml:space="preserve">The Service has in place a range of mechanisms where learners can make suggestions for improvements to the Service.  All matters of concern and complaints were dealt with to the satisfaction of the service user and improvements were put in place as appropriate.  </w:t>
      </w:r>
    </w:p>
    <w:p w14:paraId="067FEA7C" w14:textId="77777777" w:rsidR="00AA05E3" w:rsidRDefault="00AA05E3" w:rsidP="00AA05E3"/>
    <w:p w14:paraId="74534E0B" w14:textId="77777777" w:rsidR="00AA05E3" w:rsidRDefault="00AA05E3" w:rsidP="00AA05E3">
      <w:r>
        <w:t>The Service operates a harassment and bullying policy and procedure and a hate incident reporting system.</w:t>
      </w:r>
    </w:p>
    <w:p w14:paraId="3AE5E246" w14:textId="77777777" w:rsidR="00AA05E3" w:rsidRDefault="00AA05E3" w:rsidP="00AA05E3"/>
    <w:p w14:paraId="20266F06" w14:textId="77777777" w:rsidR="00E724FE" w:rsidRDefault="00AA05E3" w:rsidP="00AA05E3">
      <w:r>
        <w:t>These systems are accessible to all groups of learners.  Complaints are analysed against the protected characteristics and there were no trends by equality groups that caused concern</w:t>
      </w:r>
    </w:p>
    <w:p w14:paraId="7D7DF99D" w14:textId="77777777" w:rsidR="004B6FE9" w:rsidRDefault="004B6FE9" w:rsidP="00AA05E3"/>
    <w:p w14:paraId="64DE0454" w14:textId="77777777" w:rsidR="00E724FE" w:rsidRDefault="00E724FE" w:rsidP="00E724FE">
      <w:r>
        <w:rPr>
          <w:b/>
          <w:bCs/>
        </w:rPr>
        <w:t xml:space="preserve">3.4 Equality planning, </w:t>
      </w:r>
      <w:proofErr w:type="gramStart"/>
      <w:r>
        <w:rPr>
          <w:b/>
          <w:bCs/>
        </w:rPr>
        <w:t>consultation</w:t>
      </w:r>
      <w:proofErr w:type="gramEnd"/>
      <w:r>
        <w:rPr>
          <w:b/>
          <w:bCs/>
        </w:rPr>
        <w:t xml:space="preserve"> and involvement</w:t>
      </w:r>
    </w:p>
    <w:p w14:paraId="3458F3F1" w14:textId="77777777" w:rsidR="00E724FE" w:rsidRDefault="00E724FE" w:rsidP="00E724FE"/>
    <w:p w14:paraId="53932DD4" w14:textId="77777777" w:rsidR="00AA05E3" w:rsidRDefault="00AA05E3" w:rsidP="005855D1">
      <w:r>
        <w:t>Learners and staff are involved in the annual self-assessment on equality and diversity every year. Equality Impact Assessments have been completed where appropriate.</w:t>
      </w:r>
    </w:p>
    <w:p w14:paraId="50521095" w14:textId="77777777" w:rsidR="00AA05E3" w:rsidRDefault="00AA05E3" w:rsidP="005855D1"/>
    <w:p w14:paraId="7752F38D" w14:textId="77777777" w:rsidR="00AA05E3" w:rsidRDefault="00762732" w:rsidP="00FF6CCC">
      <w:pPr>
        <w:pStyle w:val="ListParagraph"/>
        <w:ind w:left="0"/>
        <w:contextualSpacing w:val="0"/>
        <w:rPr>
          <w:rFonts w:eastAsia="Times New Roman"/>
          <w:color w:val="auto"/>
          <w:sz w:val="24"/>
          <w:lang w:val="en-GB"/>
        </w:rPr>
      </w:pPr>
      <w:r w:rsidRPr="008B6F93">
        <w:rPr>
          <w:rFonts w:eastAsia="Times New Roman"/>
          <w:color w:val="auto"/>
          <w:sz w:val="24"/>
          <w:lang w:val="en-GB"/>
        </w:rPr>
        <w:t>I</w:t>
      </w:r>
      <w:r w:rsidR="00AA05E3" w:rsidRPr="008B6F93">
        <w:rPr>
          <w:rFonts w:eastAsia="Times New Roman"/>
          <w:color w:val="auto"/>
          <w:sz w:val="24"/>
          <w:lang w:val="en-GB"/>
        </w:rPr>
        <w:t xml:space="preserve">n </w:t>
      </w:r>
      <w:r w:rsidR="00FB57AD" w:rsidRPr="008B6F93">
        <w:rPr>
          <w:rFonts w:eastAsia="Times New Roman"/>
          <w:color w:val="auto"/>
          <w:sz w:val="24"/>
          <w:lang w:val="en-GB"/>
        </w:rPr>
        <w:t>20</w:t>
      </w:r>
      <w:r w:rsidR="008B6F93" w:rsidRPr="008B6F93">
        <w:rPr>
          <w:rFonts w:eastAsia="Times New Roman"/>
          <w:color w:val="auto"/>
          <w:sz w:val="24"/>
          <w:lang w:val="en-GB"/>
        </w:rPr>
        <w:t>20/21</w:t>
      </w:r>
      <w:r w:rsidR="004B6FE9" w:rsidRPr="008B6F93">
        <w:rPr>
          <w:rFonts w:eastAsia="Times New Roman"/>
          <w:color w:val="auto"/>
          <w:sz w:val="24"/>
          <w:lang w:val="en-GB"/>
        </w:rPr>
        <w:t xml:space="preserve"> </w:t>
      </w:r>
      <w:r w:rsidR="00AA05E3" w:rsidRPr="008B6F93">
        <w:rPr>
          <w:rFonts w:eastAsia="Times New Roman"/>
          <w:color w:val="auto"/>
          <w:sz w:val="24"/>
          <w:lang w:val="en-GB"/>
        </w:rPr>
        <w:t xml:space="preserve">consultation </w:t>
      </w:r>
      <w:r w:rsidR="008B6F93" w:rsidRPr="008B6F93">
        <w:rPr>
          <w:rFonts w:eastAsia="Times New Roman"/>
          <w:color w:val="auto"/>
          <w:sz w:val="24"/>
          <w:lang w:val="en-GB"/>
        </w:rPr>
        <w:t>with</w:t>
      </w:r>
      <w:r w:rsidR="00AA05E3" w:rsidRPr="008B6F93">
        <w:rPr>
          <w:rFonts w:eastAsia="Times New Roman"/>
          <w:color w:val="auto"/>
          <w:sz w:val="24"/>
          <w:lang w:val="en-GB"/>
        </w:rPr>
        <w:t xml:space="preserve"> learners and partners </w:t>
      </w:r>
      <w:r w:rsidR="008B6F93" w:rsidRPr="008B6F93">
        <w:rPr>
          <w:rFonts w:eastAsia="Times New Roman"/>
          <w:color w:val="auto"/>
          <w:sz w:val="24"/>
          <w:lang w:val="en-GB"/>
        </w:rPr>
        <w:t xml:space="preserve">has continued to </w:t>
      </w:r>
      <w:r w:rsidR="00AA05E3" w:rsidRPr="008B6F93">
        <w:rPr>
          <w:rFonts w:eastAsia="Times New Roman"/>
          <w:color w:val="auto"/>
          <w:sz w:val="24"/>
          <w:lang w:val="en-GB"/>
        </w:rPr>
        <w:t xml:space="preserve">help </w:t>
      </w:r>
      <w:r w:rsidR="008B6F93" w:rsidRPr="008B6F93">
        <w:rPr>
          <w:rFonts w:eastAsia="Times New Roman"/>
          <w:color w:val="auto"/>
          <w:sz w:val="24"/>
          <w:lang w:val="en-GB"/>
        </w:rPr>
        <w:t>the service</w:t>
      </w:r>
      <w:r w:rsidR="00AA05E3" w:rsidRPr="008B6F93">
        <w:rPr>
          <w:rFonts w:eastAsia="Times New Roman"/>
          <w:color w:val="auto"/>
          <w:sz w:val="24"/>
          <w:lang w:val="en-GB"/>
        </w:rPr>
        <w:t xml:space="preserve"> decide what courses we put on and </w:t>
      </w:r>
      <w:r w:rsidRPr="008B6F93">
        <w:rPr>
          <w:rFonts w:eastAsia="Times New Roman"/>
          <w:color w:val="auto"/>
          <w:sz w:val="24"/>
          <w:lang w:val="en-GB"/>
        </w:rPr>
        <w:t>in which venues</w:t>
      </w:r>
      <w:r w:rsidR="008B6F93" w:rsidRPr="008B6F93">
        <w:rPr>
          <w:rFonts w:eastAsia="Times New Roman"/>
          <w:color w:val="auto"/>
          <w:sz w:val="24"/>
          <w:lang w:val="en-GB"/>
        </w:rPr>
        <w:t xml:space="preserve">.  Feedback has been in the form of </w:t>
      </w:r>
      <w:r w:rsidR="00AA05E3" w:rsidRPr="008B6F93">
        <w:rPr>
          <w:rFonts w:eastAsia="Times New Roman"/>
          <w:color w:val="auto"/>
          <w:sz w:val="24"/>
          <w:lang w:val="en-GB"/>
        </w:rPr>
        <w:t xml:space="preserve">course feedback sheets, learner voice processes and surveys.   The Service </w:t>
      </w:r>
      <w:r w:rsidR="004B6FE9" w:rsidRPr="008B6F93">
        <w:rPr>
          <w:rFonts w:eastAsia="Times New Roman"/>
          <w:color w:val="auto"/>
          <w:sz w:val="24"/>
          <w:lang w:val="en-GB"/>
        </w:rPr>
        <w:t xml:space="preserve">continues to monitor outcomes against </w:t>
      </w:r>
      <w:r w:rsidR="00AA05E3" w:rsidRPr="008B6F93">
        <w:rPr>
          <w:rFonts w:eastAsia="Times New Roman"/>
          <w:color w:val="auto"/>
          <w:sz w:val="24"/>
          <w:lang w:val="en-GB"/>
        </w:rPr>
        <w:t>the Service’s equality objectives</w:t>
      </w:r>
      <w:r w:rsidR="00775AE7" w:rsidRPr="008B6F93">
        <w:rPr>
          <w:rFonts w:eastAsia="Times New Roman"/>
          <w:color w:val="auto"/>
          <w:sz w:val="24"/>
          <w:lang w:val="en-GB"/>
        </w:rPr>
        <w:t xml:space="preserve"> 2019-2023</w:t>
      </w:r>
      <w:r w:rsidR="004B6FE9" w:rsidRPr="008B6F93">
        <w:rPr>
          <w:rFonts w:eastAsia="Times New Roman"/>
          <w:color w:val="auto"/>
          <w:sz w:val="24"/>
          <w:lang w:val="en-GB"/>
        </w:rPr>
        <w:t xml:space="preserve">. </w:t>
      </w:r>
      <w:r w:rsidR="00775AE7" w:rsidRPr="008B6F93">
        <w:rPr>
          <w:rFonts w:eastAsia="Times New Roman"/>
          <w:color w:val="auto"/>
          <w:sz w:val="24"/>
          <w:lang w:val="en-GB"/>
        </w:rPr>
        <w:t xml:space="preserve"> </w:t>
      </w:r>
      <w:r w:rsidR="00AA05E3" w:rsidRPr="008B6F93">
        <w:rPr>
          <w:rFonts w:eastAsia="Times New Roman"/>
          <w:color w:val="auto"/>
          <w:sz w:val="24"/>
          <w:lang w:val="en-GB"/>
        </w:rPr>
        <w:t xml:space="preserve">  </w:t>
      </w:r>
      <w:r w:rsidR="004B6FE9" w:rsidRPr="008B6F93">
        <w:rPr>
          <w:rFonts w:eastAsia="Times New Roman"/>
          <w:color w:val="auto"/>
          <w:sz w:val="24"/>
          <w:lang w:val="en-GB"/>
        </w:rPr>
        <w:t>In May 202</w:t>
      </w:r>
      <w:r w:rsidR="008B6F93" w:rsidRPr="008B6F93">
        <w:rPr>
          <w:rFonts w:eastAsia="Times New Roman"/>
          <w:color w:val="auto"/>
          <w:sz w:val="24"/>
          <w:lang w:val="en-GB"/>
        </w:rPr>
        <w:t>1</w:t>
      </w:r>
      <w:r w:rsidR="004B6FE9" w:rsidRPr="008B6F93">
        <w:rPr>
          <w:rFonts w:eastAsia="Times New Roman"/>
          <w:color w:val="auto"/>
          <w:sz w:val="24"/>
          <w:lang w:val="en-GB"/>
        </w:rPr>
        <w:t xml:space="preserve">, the service </w:t>
      </w:r>
      <w:r w:rsidR="008B6F93" w:rsidRPr="008B6F93">
        <w:rPr>
          <w:rFonts w:eastAsia="Times New Roman"/>
          <w:color w:val="auto"/>
          <w:sz w:val="24"/>
          <w:lang w:val="en-GB"/>
        </w:rPr>
        <w:t xml:space="preserve">submitted their </w:t>
      </w:r>
      <w:r w:rsidR="008B6F93">
        <w:rPr>
          <w:rFonts w:eastAsia="Times New Roman"/>
          <w:color w:val="auto"/>
          <w:sz w:val="24"/>
          <w:lang w:val="en-GB"/>
        </w:rPr>
        <w:t xml:space="preserve">Matrix </w:t>
      </w:r>
      <w:r w:rsidR="008B6F93" w:rsidRPr="008B6F93">
        <w:rPr>
          <w:rFonts w:eastAsia="Times New Roman"/>
          <w:color w:val="auto"/>
          <w:sz w:val="24"/>
          <w:lang w:val="en-GB"/>
        </w:rPr>
        <w:t xml:space="preserve">Annual continuous improvement check for Year 2 and </w:t>
      </w:r>
      <w:r w:rsidR="005855D1">
        <w:rPr>
          <w:rFonts w:eastAsia="Times New Roman"/>
          <w:color w:val="auto"/>
          <w:sz w:val="24"/>
          <w:lang w:val="en-GB"/>
        </w:rPr>
        <w:t xml:space="preserve">maintained accreditation and </w:t>
      </w:r>
      <w:r w:rsidR="008B6F93" w:rsidRPr="008B6F93">
        <w:rPr>
          <w:rFonts w:eastAsia="Times New Roman"/>
          <w:color w:val="auto"/>
          <w:sz w:val="24"/>
          <w:lang w:val="en-GB"/>
        </w:rPr>
        <w:t xml:space="preserve">was judged to have no improvements </w:t>
      </w:r>
      <w:r w:rsidR="008B6F93">
        <w:rPr>
          <w:rFonts w:eastAsia="Times New Roman"/>
          <w:color w:val="auto"/>
          <w:sz w:val="24"/>
          <w:lang w:val="en-GB"/>
        </w:rPr>
        <w:t xml:space="preserve">or actions. </w:t>
      </w:r>
      <w:r w:rsidR="008B6F93" w:rsidRPr="008B6F93">
        <w:rPr>
          <w:rFonts w:eastAsia="Times New Roman"/>
          <w:color w:val="auto"/>
          <w:sz w:val="24"/>
          <w:lang w:val="en-GB"/>
        </w:rPr>
        <w:t xml:space="preserve"> </w:t>
      </w:r>
      <w:r w:rsidR="005855D1">
        <w:rPr>
          <w:rFonts w:eastAsia="Times New Roman"/>
          <w:color w:val="auto"/>
          <w:sz w:val="24"/>
          <w:lang w:val="en-GB"/>
        </w:rPr>
        <w:t xml:space="preserve">The assessor commented on </w:t>
      </w:r>
      <w:r w:rsidR="005855D1" w:rsidRPr="005855D1">
        <w:rPr>
          <w:rFonts w:eastAsia="Times New Roman"/>
          <w:color w:val="auto"/>
          <w:sz w:val="24"/>
          <w:lang w:val="en-GB"/>
        </w:rPr>
        <w:t>the effectiveness of the service in helping people to excel</w:t>
      </w:r>
      <w:r w:rsidR="005855D1">
        <w:rPr>
          <w:rFonts w:eastAsia="Times New Roman"/>
          <w:color w:val="auto"/>
          <w:sz w:val="24"/>
          <w:lang w:val="en-GB"/>
        </w:rPr>
        <w:t xml:space="preserve"> and the service’s</w:t>
      </w:r>
      <w:r w:rsidR="005855D1" w:rsidRPr="005855D1">
        <w:rPr>
          <w:rFonts w:eastAsia="Times New Roman"/>
          <w:color w:val="auto"/>
          <w:sz w:val="24"/>
          <w:lang w:val="en-GB"/>
        </w:rPr>
        <w:t xml:space="preserve"> flexibility in responding to changing needs triggered by the pandemic and effective networking with partners to share resources and coordinate provision for the benefit of the community</w:t>
      </w:r>
      <w:r w:rsidR="005A37C6">
        <w:rPr>
          <w:rFonts w:eastAsia="Times New Roman"/>
          <w:color w:val="auto"/>
          <w:sz w:val="24"/>
          <w:lang w:val="en-GB"/>
        </w:rPr>
        <w:t>.</w:t>
      </w:r>
    </w:p>
    <w:p w14:paraId="445656BE" w14:textId="77777777" w:rsidR="005A37C6" w:rsidRPr="005855D1" w:rsidRDefault="005A37C6" w:rsidP="005855D1">
      <w:pPr>
        <w:pStyle w:val="ListParagraph"/>
        <w:ind w:left="0"/>
        <w:contextualSpacing w:val="0"/>
        <w:jc w:val="both"/>
        <w:rPr>
          <w:rFonts w:eastAsia="Times New Roman"/>
          <w:color w:val="auto"/>
          <w:sz w:val="24"/>
          <w:lang w:val="en-GB"/>
        </w:rPr>
      </w:pPr>
    </w:p>
    <w:p w14:paraId="3F4A8DDE" w14:textId="77777777" w:rsidR="00E724FE" w:rsidRDefault="00E724FE" w:rsidP="00E724FE">
      <w:pPr>
        <w:rPr>
          <w:b/>
          <w:bCs/>
        </w:rPr>
      </w:pPr>
      <w:r>
        <w:rPr>
          <w:b/>
          <w:bCs/>
        </w:rPr>
        <w:t>3.5 Staffing / Employment</w:t>
      </w:r>
    </w:p>
    <w:p w14:paraId="2A314522" w14:textId="77777777" w:rsidR="00E724FE" w:rsidRDefault="00E724FE" w:rsidP="00E724FE">
      <w:r>
        <w:t xml:space="preserve"> </w:t>
      </w:r>
    </w:p>
    <w:p w14:paraId="3F35E7C4" w14:textId="77777777" w:rsidR="00AA05E3" w:rsidRDefault="00AA05E3" w:rsidP="00AA05E3">
      <w:r>
        <w:t xml:space="preserve">As the Service sits within Oldham Council, information on employment is collated and monitored corporately.   </w:t>
      </w:r>
    </w:p>
    <w:p w14:paraId="12092FCF" w14:textId="77777777" w:rsidR="00AA05E3" w:rsidRDefault="00AA05E3" w:rsidP="00AA05E3"/>
    <w:p w14:paraId="057BD75E" w14:textId="77777777" w:rsidR="00731CAF" w:rsidRPr="00E724FE" w:rsidRDefault="00731CAF" w:rsidP="00E724FE">
      <w:pPr>
        <w:jc w:val="both"/>
        <w:rPr>
          <w:sz w:val="16"/>
          <w:szCs w:val="16"/>
          <w:lang w:eastAsia="en-GB" w:bidi="ks-Deva"/>
        </w:rPr>
      </w:pPr>
    </w:p>
    <w:sectPr w:rsidR="00731CAF" w:rsidRPr="00E724FE">
      <w:footerReference w:type="default" r:id="rId15"/>
      <w:footerReference w:type="first" r:id="rId16"/>
      <w:pgSz w:w="11906" w:h="16838" w:code="9"/>
      <w:pgMar w:top="1440" w:right="1344" w:bottom="130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35CD7" w14:textId="77777777" w:rsidR="00833DF0" w:rsidRDefault="00833DF0">
      <w:r>
        <w:separator/>
      </w:r>
    </w:p>
  </w:endnote>
  <w:endnote w:type="continuationSeparator" w:id="0">
    <w:p w14:paraId="3C05EA69" w14:textId="77777777" w:rsidR="00833DF0" w:rsidRDefault="0083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A0F5" w14:textId="77777777" w:rsidR="00FB57AD" w:rsidRDefault="00FB57AD">
    <w:pPr>
      <w:pStyle w:val="Footer"/>
      <w:tabs>
        <w:tab w:val="clear" w:pos="4153"/>
        <w:tab w:val="clear" w:pos="8306"/>
        <w:tab w:val="center" w:pos="4280"/>
        <w:tab w:val="right" w:pos="9142"/>
      </w:tabs>
      <w:rPr>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787281">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787281">
      <w:rPr>
        <w:rStyle w:val="PageNumber"/>
        <w:rFonts w:ascii="Arial" w:hAnsi="Arial" w:cs="Arial"/>
        <w:noProof/>
        <w:sz w:val="18"/>
        <w:szCs w:val="18"/>
      </w:rPr>
      <w:t>7</w:t>
    </w:r>
    <w:r>
      <w:rPr>
        <w:rStyle w:val="PageNumber"/>
        <w:rFonts w:ascii="Arial" w:hAnsi="Arial" w:cs="Arial"/>
        <w:sz w:val="18"/>
        <w:szCs w:val="18"/>
      </w:rPr>
      <w:fldChar w:fldCharType="end"/>
    </w:r>
    <w:r>
      <w:rPr>
        <w:rStyle w:val="PageNumber"/>
        <w:rFonts w:ascii="Arial" w:hAnsi="Arial" w:cs="Arial"/>
        <w:sz w:val="18"/>
        <w:szCs w:val="18"/>
      </w:rPr>
      <w:tab/>
      <w:t>Annual Equality Data Report</w:t>
    </w:r>
    <w:r>
      <w:rPr>
        <w:rStyle w:val="PageNumber"/>
        <w:rFonts w:ascii="Arial" w:hAnsi="Arial" w:cs="Arial"/>
        <w:sz w:val="18"/>
        <w:szCs w:val="18"/>
      </w:rPr>
      <w:tab/>
    </w:r>
    <w:r w:rsidR="00C054E4">
      <w:rPr>
        <w:rStyle w:val="PageNumber"/>
        <w:rFonts w:ascii="Arial" w:hAnsi="Arial" w:cs="Arial"/>
        <w:sz w:val="18"/>
        <w:szCs w:val="18"/>
      </w:rPr>
      <w:t>19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40B73" w14:textId="7B4E105E" w:rsidR="00FB57AD" w:rsidRDefault="004C7EEC">
    <w:pPr>
      <w:pStyle w:val="Footer"/>
      <w:ind w:right="-216"/>
      <w:jc w:val="right"/>
    </w:pPr>
    <w:r>
      <w:rPr>
        <w:noProof/>
      </w:rPr>
      <w:drawing>
        <wp:inline distT="0" distB="0" distL="0" distR="0" wp14:anchorId="508B2C39" wp14:editId="4A0D97BB">
          <wp:extent cx="955675" cy="10807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10807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F3DB0" w14:textId="77777777" w:rsidR="00833DF0" w:rsidRDefault="00833DF0">
      <w:r>
        <w:separator/>
      </w:r>
    </w:p>
  </w:footnote>
  <w:footnote w:type="continuationSeparator" w:id="0">
    <w:p w14:paraId="43B7BF76" w14:textId="77777777" w:rsidR="00833DF0" w:rsidRDefault="00833DF0">
      <w:r>
        <w:continuationSeparator/>
      </w:r>
    </w:p>
  </w:footnote>
  <w:footnote w:id="1">
    <w:p w14:paraId="42A93215" w14:textId="77777777" w:rsidR="00FB57AD" w:rsidRDefault="00FB57AD" w:rsidP="00AA05E3">
      <w:pPr>
        <w:pStyle w:val="FootnoteText"/>
      </w:pPr>
      <w:r>
        <w:rPr>
          <w:rStyle w:val="FootnoteReference"/>
        </w:rPr>
        <w:footnoteRef/>
      </w:r>
      <w:r>
        <w:t xml:space="preserve"> Department for Education: Further Education and Skills in England July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E5B29"/>
    <w:multiLevelType w:val="hybridMultilevel"/>
    <w:tmpl w:val="EC760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37539"/>
    <w:multiLevelType w:val="hybridMultilevel"/>
    <w:tmpl w:val="B5C245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5F385B"/>
    <w:multiLevelType w:val="hybridMultilevel"/>
    <w:tmpl w:val="A628EC0C"/>
    <w:lvl w:ilvl="0" w:tplc="826AA57A">
      <w:numFmt w:val="bullet"/>
      <w:lvlText w:val=""/>
      <w:lvlJc w:val="left"/>
      <w:pPr>
        <w:tabs>
          <w:tab w:val="num" w:pos="720"/>
        </w:tabs>
        <w:ind w:left="72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531EB"/>
    <w:multiLevelType w:val="multilevel"/>
    <w:tmpl w:val="7EA26E82"/>
    <w:lvl w:ilvl="0">
      <w:start w:val="1"/>
      <w:numFmt w:val="decimal"/>
      <w:lvlText w:val="%1.0"/>
      <w:lvlJc w:val="left"/>
      <w:pPr>
        <w:tabs>
          <w:tab w:val="num" w:pos="840"/>
        </w:tabs>
        <w:ind w:left="840" w:hanging="840"/>
      </w:pPr>
      <w:rPr>
        <w:rFonts w:ascii="Times New Roman" w:hAnsi="Times New Roman" w:cs="Times New Roman" w:hint="default"/>
      </w:rPr>
    </w:lvl>
    <w:lvl w:ilvl="1">
      <w:start w:val="1"/>
      <w:numFmt w:val="decimal"/>
      <w:lvlText w:val="%1.%2"/>
      <w:lvlJc w:val="left"/>
      <w:pPr>
        <w:tabs>
          <w:tab w:val="num" w:pos="1560"/>
        </w:tabs>
        <w:ind w:left="1560" w:hanging="840"/>
      </w:pPr>
      <w:rPr>
        <w:rFonts w:ascii="Times New Roman" w:hAnsi="Times New Roman" w:cs="Times New Roman" w:hint="default"/>
      </w:rPr>
    </w:lvl>
    <w:lvl w:ilvl="2">
      <w:start w:val="1"/>
      <w:numFmt w:val="decimal"/>
      <w:lvlText w:val="%1.%2.%3"/>
      <w:lvlJc w:val="left"/>
      <w:pPr>
        <w:tabs>
          <w:tab w:val="num" w:pos="2280"/>
        </w:tabs>
        <w:ind w:left="2280" w:hanging="84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 w15:restartNumberingAfterBreak="0">
    <w:nsid w:val="4B10763F"/>
    <w:multiLevelType w:val="hybridMultilevel"/>
    <w:tmpl w:val="77AEC7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DA50AA8"/>
    <w:multiLevelType w:val="multilevel"/>
    <w:tmpl w:val="B5C245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A409A5"/>
    <w:multiLevelType w:val="hybridMultilevel"/>
    <w:tmpl w:val="A7420FDC"/>
    <w:lvl w:ilvl="0" w:tplc="348061E4">
      <w:start w:val="1"/>
      <w:numFmt w:val="bullet"/>
      <w:lvlText w:val=""/>
      <w:lvlJc w:val="left"/>
      <w:pPr>
        <w:tabs>
          <w:tab w:val="num" w:pos="717"/>
        </w:tabs>
        <w:ind w:left="6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87EF1"/>
    <w:multiLevelType w:val="hybridMultilevel"/>
    <w:tmpl w:val="94C6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42F4A"/>
    <w:multiLevelType w:val="hybridMultilevel"/>
    <w:tmpl w:val="DB96A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FF27971"/>
    <w:multiLevelType w:val="hybridMultilevel"/>
    <w:tmpl w:val="F6EEC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8"/>
  </w:num>
  <w:num w:numId="6">
    <w:abstractNumId w:val="7"/>
  </w:num>
  <w:num w:numId="7">
    <w:abstractNumId w:val="2"/>
  </w:num>
  <w:num w:numId="8">
    <w:abstractNumId w:val="6"/>
  </w:num>
  <w:num w:numId="9">
    <w:abstractNumId w:val="4"/>
  </w:num>
  <w:num w:numId="10">
    <w:abstractNumId w:val="2"/>
    <w:lvlOverride w:ilvl="0"/>
    <w:lvlOverride w:ilvl="1"/>
    <w:lvlOverride w:ilvl="2"/>
    <w:lvlOverride w:ilvl="3"/>
    <w:lvlOverride w:ilvl="4"/>
    <w:lvlOverride w:ilvl="5"/>
    <w:lvlOverride w:ilvl="6"/>
    <w:lvlOverride w:ilvl="7"/>
    <w:lvlOverride w:ilv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attachedTemplate r:id="rId1"/>
  <w:stylePaneFormatFilter w:val="013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CF"/>
    <w:rsid w:val="000034C8"/>
    <w:rsid w:val="00010C9E"/>
    <w:rsid w:val="00013737"/>
    <w:rsid w:val="000329F7"/>
    <w:rsid w:val="000545F2"/>
    <w:rsid w:val="00062F2F"/>
    <w:rsid w:val="0008782A"/>
    <w:rsid w:val="00087AD1"/>
    <w:rsid w:val="00094FD6"/>
    <w:rsid w:val="000A6398"/>
    <w:rsid w:val="000B643C"/>
    <w:rsid w:val="000C2FC9"/>
    <w:rsid w:val="000C44EB"/>
    <w:rsid w:val="000E7F69"/>
    <w:rsid w:val="000F20FB"/>
    <w:rsid w:val="00102410"/>
    <w:rsid w:val="0010614D"/>
    <w:rsid w:val="00110EE8"/>
    <w:rsid w:val="00112A8F"/>
    <w:rsid w:val="0012028F"/>
    <w:rsid w:val="0014561D"/>
    <w:rsid w:val="001625A0"/>
    <w:rsid w:val="00190ECE"/>
    <w:rsid w:val="001D0859"/>
    <w:rsid w:val="001D5734"/>
    <w:rsid w:val="001E489D"/>
    <w:rsid w:val="002006EC"/>
    <w:rsid w:val="00201344"/>
    <w:rsid w:val="00202678"/>
    <w:rsid w:val="00210E00"/>
    <w:rsid w:val="0022723A"/>
    <w:rsid w:val="00232F1B"/>
    <w:rsid w:val="00235926"/>
    <w:rsid w:val="0024538B"/>
    <w:rsid w:val="00271504"/>
    <w:rsid w:val="00271A14"/>
    <w:rsid w:val="00271CAD"/>
    <w:rsid w:val="00272F0A"/>
    <w:rsid w:val="00280779"/>
    <w:rsid w:val="00281494"/>
    <w:rsid w:val="00292131"/>
    <w:rsid w:val="00296376"/>
    <w:rsid w:val="002A7A48"/>
    <w:rsid w:val="002B402B"/>
    <w:rsid w:val="002C063A"/>
    <w:rsid w:val="002D27C4"/>
    <w:rsid w:val="002F1DE1"/>
    <w:rsid w:val="002F47A4"/>
    <w:rsid w:val="002F5F9E"/>
    <w:rsid w:val="0030686B"/>
    <w:rsid w:val="003374DA"/>
    <w:rsid w:val="00337565"/>
    <w:rsid w:val="00341A6C"/>
    <w:rsid w:val="003465DC"/>
    <w:rsid w:val="00361E2E"/>
    <w:rsid w:val="00364D14"/>
    <w:rsid w:val="00372333"/>
    <w:rsid w:val="00397649"/>
    <w:rsid w:val="003B18AE"/>
    <w:rsid w:val="003B41D2"/>
    <w:rsid w:val="00407291"/>
    <w:rsid w:val="004220FA"/>
    <w:rsid w:val="00426E93"/>
    <w:rsid w:val="0043383D"/>
    <w:rsid w:val="00447AE3"/>
    <w:rsid w:val="0047619E"/>
    <w:rsid w:val="00482C9B"/>
    <w:rsid w:val="0048564F"/>
    <w:rsid w:val="00496311"/>
    <w:rsid w:val="004A3CA7"/>
    <w:rsid w:val="004B0870"/>
    <w:rsid w:val="004B381F"/>
    <w:rsid w:val="004B6FE9"/>
    <w:rsid w:val="004C5B4C"/>
    <w:rsid w:val="004C7EEC"/>
    <w:rsid w:val="004E4F97"/>
    <w:rsid w:val="004E5057"/>
    <w:rsid w:val="004E52A8"/>
    <w:rsid w:val="004F0F9F"/>
    <w:rsid w:val="004F112E"/>
    <w:rsid w:val="00500036"/>
    <w:rsid w:val="005132B3"/>
    <w:rsid w:val="005305C4"/>
    <w:rsid w:val="00530913"/>
    <w:rsid w:val="00530D71"/>
    <w:rsid w:val="0054069B"/>
    <w:rsid w:val="005414CC"/>
    <w:rsid w:val="00554159"/>
    <w:rsid w:val="005726D5"/>
    <w:rsid w:val="005855D1"/>
    <w:rsid w:val="00591CD1"/>
    <w:rsid w:val="005967AF"/>
    <w:rsid w:val="005A37C6"/>
    <w:rsid w:val="005B0DC8"/>
    <w:rsid w:val="005D426A"/>
    <w:rsid w:val="005F5E7E"/>
    <w:rsid w:val="00616D01"/>
    <w:rsid w:val="00630A49"/>
    <w:rsid w:val="00653433"/>
    <w:rsid w:val="0066705A"/>
    <w:rsid w:val="00671222"/>
    <w:rsid w:val="0067335E"/>
    <w:rsid w:val="0067553A"/>
    <w:rsid w:val="00675DDE"/>
    <w:rsid w:val="00676337"/>
    <w:rsid w:val="00676ADA"/>
    <w:rsid w:val="006931A6"/>
    <w:rsid w:val="006C37A8"/>
    <w:rsid w:val="006D3888"/>
    <w:rsid w:val="006E103B"/>
    <w:rsid w:val="006E3C8A"/>
    <w:rsid w:val="006E71CB"/>
    <w:rsid w:val="006F27E2"/>
    <w:rsid w:val="006F7BD7"/>
    <w:rsid w:val="00731CAF"/>
    <w:rsid w:val="00742BCC"/>
    <w:rsid w:val="00745A76"/>
    <w:rsid w:val="007562E9"/>
    <w:rsid w:val="00762732"/>
    <w:rsid w:val="00775AE7"/>
    <w:rsid w:val="00787281"/>
    <w:rsid w:val="007B202F"/>
    <w:rsid w:val="007B360D"/>
    <w:rsid w:val="007B3A1E"/>
    <w:rsid w:val="007C4850"/>
    <w:rsid w:val="007D75F4"/>
    <w:rsid w:val="007E0156"/>
    <w:rsid w:val="007E0EB6"/>
    <w:rsid w:val="007F4ABA"/>
    <w:rsid w:val="007F7D83"/>
    <w:rsid w:val="00801C41"/>
    <w:rsid w:val="00807B80"/>
    <w:rsid w:val="008172B2"/>
    <w:rsid w:val="00833DF0"/>
    <w:rsid w:val="00845A59"/>
    <w:rsid w:val="00860C69"/>
    <w:rsid w:val="008755F3"/>
    <w:rsid w:val="008779C7"/>
    <w:rsid w:val="008A4EA1"/>
    <w:rsid w:val="008B6F93"/>
    <w:rsid w:val="008B702D"/>
    <w:rsid w:val="008C1F38"/>
    <w:rsid w:val="008C4088"/>
    <w:rsid w:val="008C60E4"/>
    <w:rsid w:val="008D11E6"/>
    <w:rsid w:val="008D462F"/>
    <w:rsid w:val="008E13D7"/>
    <w:rsid w:val="008F0CF5"/>
    <w:rsid w:val="00902C06"/>
    <w:rsid w:val="00904035"/>
    <w:rsid w:val="00905AF6"/>
    <w:rsid w:val="0091080D"/>
    <w:rsid w:val="00916C08"/>
    <w:rsid w:val="00926153"/>
    <w:rsid w:val="0093017D"/>
    <w:rsid w:val="00932F0E"/>
    <w:rsid w:val="00936AB6"/>
    <w:rsid w:val="00951801"/>
    <w:rsid w:val="00952D68"/>
    <w:rsid w:val="00954D0F"/>
    <w:rsid w:val="00967EA1"/>
    <w:rsid w:val="00996654"/>
    <w:rsid w:val="009A005E"/>
    <w:rsid w:val="009D4648"/>
    <w:rsid w:val="009F3470"/>
    <w:rsid w:val="009F4B26"/>
    <w:rsid w:val="00A031CD"/>
    <w:rsid w:val="00A11F20"/>
    <w:rsid w:val="00A32B84"/>
    <w:rsid w:val="00A33745"/>
    <w:rsid w:val="00A34B8A"/>
    <w:rsid w:val="00A37D7D"/>
    <w:rsid w:val="00A400CF"/>
    <w:rsid w:val="00A46E8C"/>
    <w:rsid w:val="00A51E53"/>
    <w:rsid w:val="00A525E2"/>
    <w:rsid w:val="00A57844"/>
    <w:rsid w:val="00A602C3"/>
    <w:rsid w:val="00A6323A"/>
    <w:rsid w:val="00A63DAA"/>
    <w:rsid w:val="00A72B1E"/>
    <w:rsid w:val="00A93C4B"/>
    <w:rsid w:val="00AA05E3"/>
    <w:rsid w:val="00AF001A"/>
    <w:rsid w:val="00AF3B29"/>
    <w:rsid w:val="00B1518F"/>
    <w:rsid w:val="00B2566B"/>
    <w:rsid w:val="00B30B35"/>
    <w:rsid w:val="00B32DF9"/>
    <w:rsid w:val="00B419C1"/>
    <w:rsid w:val="00B47032"/>
    <w:rsid w:val="00B57233"/>
    <w:rsid w:val="00B70720"/>
    <w:rsid w:val="00B95A53"/>
    <w:rsid w:val="00BA546B"/>
    <w:rsid w:val="00BB0C1A"/>
    <w:rsid w:val="00BB1ACA"/>
    <w:rsid w:val="00BD7A6D"/>
    <w:rsid w:val="00BE6EC0"/>
    <w:rsid w:val="00BF11CE"/>
    <w:rsid w:val="00C026F7"/>
    <w:rsid w:val="00C02BFB"/>
    <w:rsid w:val="00C054E4"/>
    <w:rsid w:val="00C05FCF"/>
    <w:rsid w:val="00C21690"/>
    <w:rsid w:val="00C23610"/>
    <w:rsid w:val="00C403AF"/>
    <w:rsid w:val="00C417FE"/>
    <w:rsid w:val="00C55E1B"/>
    <w:rsid w:val="00C61512"/>
    <w:rsid w:val="00C66C3F"/>
    <w:rsid w:val="00C736AD"/>
    <w:rsid w:val="00C75B1F"/>
    <w:rsid w:val="00C85F73"/>
    <w:rsid w:val="00C95D62"/>
    <w:rsid w:val="00CA3917"/>
    <w:rsid w:val="00CA7E42"/>
    <w:rsid w:val="00D0071F"/>
    <w:rsid w:val="00D135AF"/>
    <w:rsid w:val="00D16198"/>
    <w:rsid w:val="00D35AF6"/>
    <w:rsid w:val="00D400EC"/>
    <w:rsid w:val="00D62279"/>
    <w:rsid w:val="00D765DA"/>
    <w:rsid w:val="00D82A14"/>
    <w:rsid w:val="00D85F3B"/>
    <w:rsid w:val="00D95CF3"/>
    <w:rsid w:val="00DB0C06"/>
    <w:rsid w:val="00DB5668"/>
    <w:rsid w:val="00DD2747"/>
    <w:rsid w:val="00E05CA2"/>
    <w:rsid w:val="00E078B8"/>
    <w:rsid w:val="00E17110"/>
    <w:rsid w:val="00E21397"/>
    <w:rsid w:val="00E35E4D"/>
    <w:rsid w:val="00E42FDE"/>
    <w:rsid w:val="00E6584B"/>
    <w:rsid w:val="00E724FE"/>
    <w:rsid w:val="00E763DC"/>
    <w:rsid w:val="00E815F8"/>
    <w:rsid w:val="00E865CB"/>
    <w:rsid w:val="00E91F55"/>
    <w:rsid w:val="00E95332"/>
    <w:rsid w:val="00EA3128"/>
    <w:rsid w:val="00EA4D2E"/>
    <w:rsid w:val="00EA7A0E"/>
    <w:rsid w:val="00EB774F"/>
    <w:rsid w:val="00ED0DB0"/>
    <w:rsid w:val="00ED5420"/>
    <w:rsid w:val="00ED5F36"/>
    <w:rsid w:val="00EE31CB"/>
    <w:rsid w:val="00F018C5"/>
    <w:rsid w:val="00F13A72"/>
    <w:rsid w:val="00F31E93"/>
    <w:rsid w:val="00F33D02"/>
    <w:rsid w:val="00F514A8"/>
    <w:rsid w:val="00F521FA"/>
    <w:rsid w:val="00F523CF"/>
    <w:rsid w:val="00F651C3"/>
    <w:rsid w:val="00F7567F"/>
    <w:rsid w:val="00F84BF9"/>
    <w:rsid w:val="00F93413"/>
    <w:rsid w:val="00F94732"/>
    <w:rsid w:val="00F97D6A"/>
    <w:rsid w:val="00FB57AD"/>
    <w:rsid w:val="00FB5FA5"/>
    <w:rsid w:val="00FB79AE"/>
    <w:rsid w:val="00FC1B2E"/>
    <w:rsid w:val="00FD0C23"/>
    <w:rsid w:val="00FD35ED"/>
    <w:rsid w:val="00FF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55E5FBA"/>
  <w15:chartTrackingRefBased/>
  <w15:docId w15:val="{493F6C2A-7AB2-4F12-A0B5-DAC9ECFB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rPr>
      <w:rFonts w:ascii="Times New Roman" w:hAnsi="Times New Roman" w:cs="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rFonts w:ascii="Times New Roman" w:hAnsi="Times New Roman" w:cs="Times New Roman"/>
      <w:sz w:val="20"/>
      <w:szCs w:val="20"/>
      <w:lang w:eastAsia="en-GB"/>
    </w:rPr>
  </w:style>
  <w:style w:type="character" w:styleId="FootnoteReference">
    <w:name w:val="footnote reference"/>
    <w:aliases w:val="Footnote Reference (caveat)"/>
    <w:rPr>
      <w:vertAlign w:val="superscript"/>
    </w:rPr>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link w:val="FootnoteText"/>
    <w:uiPriority w:val="99"/>
    <w:semiHidden/>
    <w:rsid w:val="00E724FE"/>
  </w:style>
  <w:style w:type="paragraph" w:styleId="EndnoteText">
    <w:name w:val="endnote text"/>
    <w:basedOn w:val="Normal"/>
    <w:link w:val="EndnoteTextChar"/>
    <w:rsid w:val="0066705A"/>
    <w:rPr>
      <w:sz w:val="20"/>
      <w:szCs w:val="20"/>
    </w:rPr>
  </w:style>
  <w:style w:type="character" w:customStyle="1" w:styleId="EndnoteTextChar">
    <w:name w:val="Endnote Text Char"/>
    <w:link w:val="EndnoteText"/>
    <w:rsid w:val="0066705A"/>
    <w:rPr>
      <w:rFonts w:ascii="Arial" w:hAnsi="Arial" w:cs="Arial"/>
      <w:lang w:eastAsia="en-US"/>
    </w:rPr>
  </w:style>
  <w:style w:type="character" w:styleId="EndnoteReference">
    <w:name w:val="endnote reference"/>
    <w:rsid w:val="0066705A"/>
    <w:rPr>
      <w:vertAlign w:val="superscript"/>
    </w:rPr>
  </w:style>
  <w:style w:type="paragraph" w:customStyle="1" w:styleId="Default">
    <w:name w:val="Default"/>
    <w:rsid w:val="004B6FE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B6F93"/>
    <w:pPr>
      <w:ind w:left="720"/>
      <w:contextualSpacing/>
    </w:pPr>
    <w:rPr>
      <w:rFonts w:eastAsia="Calibri"/>
      <w:color w:val="003087"/>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8328">
      <w:bodyDiv w:val="1"/>
      <w:marLeft w:val="0"/>
      <w:marRight w:val="0"/>
      <w:marTop w:val="0"/>
      <w:marBottom w:val="0"/>
      <w:divBdr>
        <w:top w:val="none" w:sz="0" w:space="0" w:color="auto"/>
        <w:left w:val="none" w:sz="0" w:space="0" w:color="auto"/>
        <w:bottom w:val="none" w:sz="0" w:space="0" w:color="auto"/>
        <w:right w:val="none" w:sz="0" w:space="0" w:color="auto"/>
      </w:divBdr>
    </w:div>
    <w:div w:id="121579772">
      <w:bodyDiv w:val="1"/>
      <w:marLeft w:val="0"/>
      <w:marRight w:val="0"/>
      <w:marTop w:val="0"/>
      <w:marBottom w:val="0"/>
      <w:divBdr>
        <w:top w:val="none" w:sz="0" w:space="0" w:color="auto"/>
        <w:left w:val="none" w:sz="0" w:space="0" w:color="auto"/>
        <w:bottom w:val="none" w:sz="0" w:space="0" w:color="auto"/>
        <w:right w:val="none" w:sz="0" w:space="0" w:color="auto"/>
      </w:divBdr>
    </w:div>
    <w:div w:id="234634251">
      <w:bodyDiv w:val="1"/>
      <w:marLeft w:val="0"/>
      <w:marRight w:val="0"/>
      <w:marTop w:val="0"/>
      <w:marBottom w:val="0"/>
      <w:divBdr>
        <w:top w:val="none" w:sz="0" w:space="0" w:color="auto"/>
        <w:left w:val="none" w:sz="0" w:space="0" w:color="auto"/>
        <w:bottom w:val="none" w:sz="0" w:space="0" w:color="auto"/>
        <w:right w:val="none" w:sz="0" w:space="0" w:color="auto"/>
      </w:divBdr>
    </w:div>
    <w:div w:id="878326087">
      <w:bodyDiv w:val="1"/>
      <w:marLeft w:val="0"/>
      <w:marRight w:val="0"/>
      <w:marTop w:val="0"/>
      <w:marBottom w:val="0"/>
      <w:divBdr>
        <w:top w:val="none" w:sz="0" w:space="0" w:color="auto"/>
        <w:left w:val="none" w:sz="0" w:space="0" w:color="auto"/>
        <w:bottom w:val="none" w:sz="0" w:space="0" w:color="auto"/>
        <w:right w:val="none" w:sz="0" w:space="0" w:color="auto"/>
      </w:divBdr>
    </w:div>
    <w:div w:id="1054742326">
      <w:bodyDiv w:val="1"/>
      <w:marLeft w:val="0"/>
      <w:marRight w:val="0"/>
      <w:marTop w:val="0"/>
      <w:marBottom w:val="0"/>
      <w:divBdr>
        <w:top w:val="none" w:sz="0" w:space="0" w:color="auto"/>
        <w:left w:val="none" w:sz="0" w:space="0" w:color="auto"/>
        <w:bottom w:val="none" w:sz="0" w:space="0" w:color="auto"/>
        <w:right w:val="none" w:sz="0" w:space="0" w:color="auto"/>
      </w:divBdr>
    </w:div>
    <w:div w:id="1626764738">
      <w:bodyDiv w:val="1"/>
      <w:marLeft w:val="0"/>
      <w:marRight w:val="0"/>
      <w:marTop w:val="0"/>
      <w:marBottom w:val="0"/>
      <w:divBdr>
        <w:top w:val="none" w:sz="0" w:space="0" w:color="auto"/>
        <w:left w:val="none" w:sz="0" w:space="0" w:color="auto"/>
        <w:bottom w:val="none" w:sz="0" w:space="0" w:color="auto"/>
        <w:right w:val="none" w:sz="0" w:space="0" w:color="auto"/>
      </w:divBdr>
    </w:div>
    <w:div w:id="20773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3.png@01D7A0B5.A68D93E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ek02\Local%20Settings\Temporary%20Internet%20Files\OLK26\Report%20-%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0456-0E37-4150-8B89-468612F0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 Standard.dot</Template>
  <TotalTime>0</TotalTime>
  <Pages>7</Pages>
  <Words>1997</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13361</CharactersWithSpaces>
  <SharedDoc>false</SharedDoc>
  <HLinks>
    <vt:vector size="12" baseType="variant">
      <vt:variant>
        <vt:i4>131111</vt:i4>
      </vt:variant>
      <vt:variant>
        <vt:i4>3</vt:i4>
      </vt:variant>
      <vt:variant>
        <vt:i4>0</vt:i4>
      </vt:variant>
      <vt:variant>
        <vt:i4>5</vt:i4>
      </vt:variant>
      <vt:variant>
        <vt:lpwstr>mailto:catherine.irwin@oldham.gov.uk</vt:lpwstr>
      </vt:variant>
      <vt:variant>
        <vt:lpwstr/>
      </vt:variant>
      <vt:variant>
        <vt:i4>6619228</vt:i4>
      </vt:variant>
      <vt:variant>
        <vt:i4>2230</vt:i4>
      </vt:variant>
      <vt:variant>
        <vt:i4>1026</vt:i4>
      </vt:variant>
      <vt:variant>
        <vt:i4>1</vt:i4>
      </vt:variant>
      <vt:variant>
        <vt:lpwstr>cid:image003.png@01D7A0B5.A68D93E0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socek02</dc:creator>
  <cp:keywords/>
  <cp:lastModifiedBy>John Hamilton</cp:lastModifiedBy>
  <cp:revision>2</cp:revision>
  <cp:lastPrinted>2022-02-10T13:40:00Z</cp:lastPrinted>
  <dcterms:created xsi:type="dcterms:W3CDTF">2022-05-16T15:36:00Z</dcterms:created>
  <dcterms:modified xsi:type="dcterms:W3CDTF">2022-05-16T15:36:00Z</dcterms:modified>
</cp:coreProperties>
</file>