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6ACD5F2A"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6807CA">
        <w:rPr>
          <w:rFonts w:ascii="Arial" w:hAnsi="Arial" w:cs="Arial"/>
          <w:sz w:val="48"/>
          <w:szCs w:val="48"/>
        </w:rPr>
        <w:t>Review Applications</w:t>
      </w:r>
    </w:p>
    <w:p w14:paraId="63C8C970" w14:textId="77777777" w:rsidR="00443417" w:rsidRPr="00443417" w:rsidRDefault="00443417" w:rsidP="00443417"/>
    <w:p w14:paraId="7A27362E" w14:textId="01A04715" w:rsidR="0047550D" w:rsidRDefault="0047550D" w:rsidP="0047550D">
      <w:pPr>
        <w:pStyle w:val="Heading1"/>
      </w:pPr>
      <w:r>
        <w:t>General</w:t>
      </w:r>
    </w:p>
    <w:p w14:paraId="591C506E" w14:textId="5DFD9D0F" w:rsidR="00AA0078" w:rsidRDefault="006807CA" w:rsidP="006807CA">
      <w:pPr>
        <w:rPr>
          <w:rFonts w:ascii="Arial" w:hAnsi="Arial" w:cs="Arial"/>
        </w:rPr>
      </w:pPr>
      <w:r>
        <w:rPr>
          <w:rFonts w:ascii="Arial" w:hAnsi="Arial" w:cs="Arial"/>
        </w:rPr>
        <w:t>At any stage, following the grant of a premises licence or club premises certificate, a responsible authority, or any other person, may ask the licensing authority to review the licence or certificate because of a matter arising at the premises in connection with any of the four licensing objectives.</w:t>
      </w:r>
    </w:p>
    <w:p w14:paraId="6F5AF436" w14:textId="6B55954A" w:rsidR="006807CA" w:rsidRDefault="006807CA" w:rsidP="006807CA">
      <w:pPr>
        <w:rPr>
          <w:rFonts w:ascii="Arial" w:hAnsi="Arial" w:cs="Arial"/>
        </w:rPr>
      </w:pPr>
      <w:r>
        <w:rPr>
          <w:rFonts w:ascii="Arial" w:hAnsi="Arial" w:cs="Arial"/>
        </w:rPr>
        <w:t>The proceedings set out in the 2003 Act for reviewing a premises licences and club premises certificates represent a key protection of the community where problems associated with the licensing objectives occur.</w:t>
      </w:r>
    </w:p>
    <w:p w14:paraId="4D4D3A2F" w14:textId="26BDF21F" w:rsidR="00443417" w:rsidRDefault="00443417" w:rsidP="006807CA">
      <w:pPr>
        <w:rPr>
          <w:rFonts w:ascii="Arial" w:hAnsi="Arial" w:cs="Arial"/>
        </w:rPr>
      </w:pPr>
    </w:p>
    <w:p w14:paraId="2893D132" w14:textId="11B1A4DD" w:rsidR="00443417" w:rsidRPr="007848E8" w:rsidRDefault="00443417" w:rsidP="00443417">
      <w:pPr>
        <w:pStyle w:val="Heading1"/>
        <w:rPr>
          <w:rFonts w:ascii="Arial" w:hAnsi="Arial" w:cs="Arial"/>
          <w:sz w:val="22"/>
          <w:szCs w:val="22"/>
        </w:rPr>
      </w:pPr>
      <w:r w:rsidRPr="007848E8">
        <w:t>What are the Licensing Objectives?</w:t>
      </w:r>
    </w:p>
    <w:p w14:paraId="49CD321F" w14:textId="77777777" w:rsidR="00443417" w:rsidRPr="007848E8" w:rsidRDefault="00443417" w:rsidP="00443417">
      <w:pPr>
        <w:numPr>
          <w:ilvl w:val="0"/>
          <w:numId w:val="9"/>
        </w:numPr>
        <w:tabs>
          <w:tab w:val="clear" w:pos="720"/>
          <w:tab w:val="num" w:pos="360"/>
        </w:tabs>
        <w:spacing w:after="0" w:line="240" w:lineRule="auto"/>
        <w:ind w:left="360"/>
        <w:jc w:val="both"/>
        <w:rPr>
          <w:rFonts w:ascii="Arial" w:hAnsi="Arial" w:cs="Arial"/>
          <w:b/>
          <w:bCs/>
        </w:rPr>
      </w:pPr>
      <w:r w:rsidRPr="007848E8">
        <w:rPr>
          <w:rFonts w:ascii="Arial" w:hAnsi="Arial" w:cs="Arial"/>
          <w:b/>
          <w:bCs/>
        </w:rPr>
        <w:t>The prevention of crime and disorder</w:t>
      </w:r>
    </w:p>
    <w:p w14:paraId="47603B36" w14:textId="136EDC22" w:rsidR="00443417" w:rsidRPr="007848E8" w:rsidRDefault="00443417" w:rsidP="00443417">
      <w:pPr>
        <w:jc w:val="both"/>
        <w:rPr>
          <w:rFonts w:ascii="Arial" w:hAnsi="Arial" w:cs="Arial"/>
        </w:rPr>
      </w:pPr>
      <w:r w:rsidRPr="007848E8">
        <w:rPr>
          <w:rFonts w:ascii="Arial" w:hAnsi="Arial" w:cs="Arial"/>
          <w:i/>
          <w:iCs/>
        </w:rPr>
        <w:t>(Examples relevant to this objective are illegal drugs, sex related activities, violent behaviour, anti-social behaviour, drunkenness, drug dealing, underage selling, however, guidance issued under Section 182 of the Act states that beyond the immediate area surrounding the premises are matters for the personal responsibility of individuals under the law)</w:t>
      </w:r>
    </w:p>
    <w:p w14:paraId="51CC6986" w14:textId="77777777" w:rsidR="00443417" w:rsidRPr="007848E8" w:rsidRDefault="00443417" w:rsidP="00443417">
      <w:pPr>
        <w:numPr>
          <w:ilvl w:val="0"/>
          <w:numId w:val="9"/>
        </w:numPr>
        <w:tabs>
          <w:tab w:val="clear" w:pos="720"/>
          <w:tab w:val="num" w:pos="360"/>
        </w:tabs>
        <w:spacing w:after="0" w:line="240" w:lineRule="auto"/>
        <w:ind w:left="360"/>
        <w:jc w:val="both"/>
        <w:rPr>
          <w:rFonts w:ascii="Arial" w:hAnsi="Arial" w:cs="Arial"/>
          <w:b/>
          <w:bCs/>
        </w:rPr>
      </w:pPr>
      <w:r w:rsidRPr="007848E8">
        <w:rPr>
          <w:rFonts w:ascii="Arial" w:hAnsi="Arial" w:cs="Arial"/>
          <w:b/>
          <w:bCs/>
        </w:rPr>
        <w:t>Public safety</w:t>
      </w:r>
    </w:p>
    <w:p w14:paraId="5215B682" w14:textId="03E56C0D" w:rsidR="00443417" w:rsidRDefault="00443417" w:rsidP="00443417">
      <w:pPr>
        <w:pStyle w:val="NoSpacing"/>
        <w:rPr>
          <w:rFonts w:ascii="Arial" w:hAnsi="Arial" w:cs="Arial"/>
          <w:i/>
          <w:iCs/>
        </w:rPr>
      </w:pPr>
      <w:r w:rsidRPr="0094565E">
        <w:rPr>
          <w:rFonts w:ascii="Arial" w:hAnsi="Arial" w:cs="Arial"/>
          <w:i/>
          <w:iCs/>
        </w:rPr>
        <w:t xml:space="preserve">(Examples relevant to this objective are </w:t>
      </w:r>
      <w:r>
        <w:rPr>
          <w:rFonts w:ascii="Arial" w:hAnsi="Arial" w:cs="Arial"/>
          <w:i/>
          <w:iCs/>
        </w:rPr>
        <w:t xml:space="preserve">lack of adequate lighting, </w:t>
      </w:r>
      <w:r w:rsidRPr="0094565E">
        <w:rPr>
          <w:rFonts w:ascii="Arial" w:hAnsi="Arial" w:cs="Arial"/>
          <w:i/>
          <w:iCs/>
        </w:rPr>
        <w:t>unauthorised alterations to property and so on)</w:t>
      </w:r>
    </w:p>
    <w:p w14:paraId="36D0224A" w14:textId="77777777" w:rsidR="00443417" w:rsidRPr="007848E8" w:rsidRDefault="00443417" w:rsidP="00443417">
      <w:pPr>
        <w:pStyle w:val="NoSpacing"/>
        <w:rPr>
          <w:rFonts w:ascii="Arial" w:hAnsi="Arial" w:cs="Arial"/>
        </w:rPr>
      </w:pPr>
    </w:p>
    <w:p w14:paraId="26076E6C" w14:textId="77777777" w:rsidR="00443417" w:rsidRPr="007848E8" w:rsidRDefault="00443417" w:rsidP="00443417">
      <w:pPr>
        <w:numPr>
          <w:ilvl w:val="0"/>
          <w:numId w:val="9"/>
        </w:numPr>
        <w:tabs>
          <w:tab w:val="clear" w:pos="720"/>
          <w:tab w:val="num" w:pos="360"/>
        </w:tabs>
        <w:spacing w:after="0" w:line="240" w:lineRule="auto"/>
        <w:ind w:left="360"/>
        <w:jc w:val="both"/>
        <w:rPr>
          <w:rFonts w:ascii="Arial" w:hAnsi="Arial" w:cs="Arial"/>
          <w:b/>
          <w:bCs/>
        </w:rPr>
      </w:pPr>
      <w:r w:rsidRPr="007848E8">
        <w:rPr>
          <w:rFonts w:ascii="Arial" w:hAnsi="Arial" w:cs="Arial"/>
          <w:b/>
          <w:bCs/>
        </w:rPr>
        <w:t>The prevention of public nuisance</w:t>
      </w:r>
    </w:p>
    <w:p w14:paraId="2B42CD01" w14:textId="03EAC5B6" w:rsidR="00443417" w:rsidRPr="007848E8" w:rsidRDefault="00443417" w:rsidP="00443417">
      <w:pPr>
        <w:jc w:val="both"/>
        <w:rPr>
          <w:rFonts w:ascii="Arial" w:hAnsi="Arial" w:cs="Arial"/>
        </w:rPr>
      </w:pPr>
      <w:r w:rsidRPr="007848E8">
        <w:rPr>
          <w:rFonts w:ascii="Arial" w:hAnsi="Arial" w:cs="Arial"/>
          <w:i/>
          <w:iCs/>
        </w:rPr>
        <w:t>(Examples relevant to this objective are noise nuisance, noxious smells, anti-social behaviour, litter in the vicinity and so on)</w:t>
      </w:r>
    </w:p>
    <w:p w14:paraId="3CBF565C" w14:textId="77777777" w:rsidR="00443417" w:rsidRPr="007848E8" w:rsidRDefault="00443417" w:rsidP="00443417">
      <w:pPr>
        <w:numPr>
          <w:ilvl w:val="0"/>
          <w:numId w:val="9"/>
        </w:numPr>
        <w:tabs>
          <w:tab w:val="clear" w:pos="720"/>
          <w:tab w:val="num" w:pos="360"/>
        </w:tabs>
        <w:spacing w:after="0" w:line="240" w:lineRule="auto"/>
        <w:ind w:left="360"/>
        <w:jc w:val="both"/>
        <w:rPr>
          <w:rFonts w:ascii="Arial" w:hAnsi="Arial" w:cs="Arial"/>
          <w:b/>
          <w:bCs/>
        </w:rPr>
      </w:pPr>
      <w:r w:rsidRPr="007848E8">
        <w:rPr>
          <w:rFonts w:ascii="Arial" w:hAnsi="Arial" w:cs="Arial"/>
          <w:b/>
          <w:bCs/>
        </w:rPr>
        <w:t>The protection of children from harm</w:t>
      </w:r>
    </w:p>
    <w:p w14:paraId="1360EDB4" w14:textId="71C056E1" w:rsidR="00443417" w:rsidRPr="007848E8" w:rsidRDefault="00443417" w:rsidP="00443417">
      <w:pPr>
        <w:jc w:val="both"/>
        <w:rPr>
          <w:rFonts w:ascii="Arial" w:hAnsi="Arial" w:cs="Arial"/>
          <w:i/>
          <w:iCs/>
        </w:rPr>
      </w:pPr>
      <w:r w:rsidRPr="007848E8">
        <w:rPr>
          <w:rFonts w:ascii="Arial" w:hAnsi="Arial" w:cs="Arial"/>
          <w:i/>
          <w:iCs/>
        </w:rPr>
        <w:t>(Example</w:t>
      </w:r>
      <w:r w:rsidR="007379F9">
        <w:rPr>
          <w:rFonts w:ascii="Arial" w:hAnsi="Arial" w:cs="Arial"/>
          <w:i/>
          <w:iCs/>
        </w:rPr>
        <w:t>s</w:t>
      </w:r>
      <w:r w:rsidRPr="007848E8">
        <w:rPr>
          <w:rFonts w:ascii="Arial" w:hAnsi="Arial" w:cs="Arial"/>
          <w:i/>
          <w:iCs/>
        </w:rPr>
        <w:t xml:space="preserve"> relevant to this objective are underage selling, sexual activities, access to premises, drugs use and so on)</w:t>
      </w:r>
    </w:p>
    <w:p w14:paraId="49816DEB" w14:textId="77777777" w:rsidR="006807CA" w:rsidRPr="006807CA" w:rsidRDefault="006807CA" w:rsidP="006807CA">
      <w:pPr>
        <w:rPr>
          <w:rFonts w:ascii="Arial" w:hAnsi="Arial" w:cs="Arial"/>
        </w:rPr>
      </w:pPr>
    </w:p>
    <w:p w14:paraId="5E9C5973" w14:textId="2556B71C" w:rsidR="00105F3A" w:rsidRDefault="006807CA" w:rsidP="00105F3A">
      <w:pPr>
        <w:pStyle w:val="Heading1"/>
      </w:pPr>
      <w:r>
        <w:t>Applying</w:t>
      </w:r>
    </w:p>
    <w:p w14:paraId="52035139" w14:textId="568C3A73" w:rsidR="000F25FC" w:rsidRDefault="006807CA" w:rsidP="00E37B9F">
      <w:pPr>
        <w:rPr>
          <w:rFonts w:ascii="Arial" w:hAnsi="Arial" w:cs="Arial"/>
        </w:rPr>
      </w:pPr>
      <w:r>
        <w:rPr>
          <w:rFonts w:ascii="Arial" w:hAnsi="Arial" w:cs="Arial"/>
        </w:rPr>
        <w:t xml:space="preserve">Any application for a review must relate to </w:t>
      </w:r>
      <w:r w:rsidR="007379F9">
        <w:rPr>
          <w:rFonts w:ascii="Arial" w:hAnsi="Arial" w:cs="Arial"/>
        </w:rPr>
        <w:t xml:space="preserve">a </w:t>
      </w:r>
      <w:r>
        <w:rPr>
          <w:rFonts w:ascii="Arial" w:hAnsi="Arial" w:cs="Arial"/>
        </w:rPr>
        <w:t xml:space="preserve">particular premises in respect of which there is a premises licence or club premises </w:t>
      </w:r>
      <w:r w:rsidR="00443417">
        <w:rPr>
          <w:rFonts w:ascii="Arial" w:hAnsi="Arial" w:cs="Arial"/>
        </w:rPr>
        <w:t>certificate and</w:t>
      </w:r>
      <w:r>
        <w:rPr>
          <w:rFonts w:ascii="Arial" w:hAnsi="Arial" w:cs="Arial"/>
        </w:rPr>
        <w:t xml:space="preserve"> must be relevant to the promotion of one or more of the licensing objectives.</w:t>
      </w:r>
      <w:r w:rsidR="007379F9">
        <w:rPr>
          <w:rFonts w:ascii="Arial" w:hAnsi="Arial" w:cs="Arial"/>
        </w:rPr>
        <w:t xml:space="preserve"> </w:t>
      </w:r>
    </w:p>
    <w:p w14:paraId="5CAB41FD" w14:textId="36EB5DFA" w:rsidR="007379F9" w:rsidRDefault="007379F9" w:rsidP="00E37B9F">
      <w:pPr>
        <w:rPr>
          <w:rFonts w:ascii="Arial" w:hAnsi="Arial" w:cs="Arial"/>
        </w:rPr>
      </w:pPr>
      <w:r>
        <w:rPr>
          <w:rFonts w:ascii="Arial" w:hAnsi="Arial" w:cs="Arial"/>
        </w:rPr>
        <w:t>The application form can be found on our website, details of which are at the end of this document.</w:t>
      </w:r>
    </w:p>
    <w:p w14:paraId="7E811995" w14:textId="39BCF021" w:rsidR="007379F9" w:rsidRDefault="007379F9" w:rsidP="00E37B9F">
      <w:pPr>
        <w:rPr>
          <w:rFonts w:ascii="Arial" w:hAnsi="Arial" w:cs="Arial"/>
        </w:rPr>
      </w:pPr>
      <w:r>
        <w:rPr>
          <w:rFonts w:ascii="Arial" w:hAnsi="Arial" w:cs="Arial"/>
        </w:rPr>
        <w:t xml:space="preserve">Completed applications form should be </w:t>
      </w:r>
      <w:r w:rsidR="00AB6BE3">
        <w:rPr>
          <w:rFonts w:ascii="Arial" w:hAnsi="Arial" w:cs="Arial"/>
        </w:rPr>
        <w:t>submitted</w:t>
      </w:r>
      <w:r>
        <w:rPr>
          <w:rFonts w:ascii="Arial" w:hAnsi="Arial" w:cs="Arial"/>
        </w:rPr>
        <w:t xml:space="preserve"> to the Licensing Service alongside any supporting evidence.</w:t>
      </w:r>
    </w:p>
    <w:p w14:paraId="54E6A263" w14:textId="6533F202" w:rsidR="009E7262" w:rsidRDefault="009E7262" w:rsidP="00E37B9F">
      <w:pPr>
        <w:rPr>
          <w:rFonts w:ascii="Arial" w:hAnsi="Arial" w:cs="Arial"/>
        </w:rPr>
      </w:pPr>
    </w:p>
    <w:p w14:paraId="25ABEE4F" w14:textId="77777777" w:rsidR="00EE545A" w:rsidRDefault="00EE545A" w:rsidP="00E37B9F">
      <w:pPr>
        <w:rPr>
          <w:rFonts w:ascii="Arial" w:hAnsi="Arial" w:cs="Arial"/>
        </w:rPr>
      </w:pPr>
    </w:p>
    <w:p w14:paraId="335D65E5" w14:textId="484620E6" w:rsidR="00050D14" w:rsidRDefault="007379F9" w:rsidP="009E7262">
      <w:pPr>
        <w:pStyle w:val="Heading1"/>
      </w:pPr>
      <w:r>
        <w:t>What happens next?</w:t>
      </w:r>
    </w:p>
    <w:p w14:paraId="476CECDB" w14:textId="35B09934" w:rsidR="004B50E0" w:rsidRDefault="007379F9" w:rsidP="00AB6BE3">
      <w:pPr>
        <w:pStyle w:val="NoSpacing"/>
        <w:rPr>
          <w:rFonts w:ascii="Arial" w:hAnsi="Arial" w:cs="Arial"/>
        </w:rPr>
      </w:pPr>
      <w:r>
        <w:rPr>
          <w:rFonts w:ascii="Arial" w:hAnsi="Arial" w:cs="Arial"/>
        </w:rPr>
        <w:t xml:space="preserve">When a licensing authority receive an application for a review there will be a 28-day consultation period beginning on the day after the review application was submitted. </w:t>
      </w:r>
      <w:r w:rsidR="00AB6BE3">
        <w:rPr>
          <w:rFonts w:ascii="Arial" w:hAnsi="Arial" w:cs="Arial"/>
        </w:rPr>
        <w:t>This is to allow for any representations to be made by any other person, or Responsible Authority, following the review being lodged.</w:t>
      </w:r>
    </w:p>
    <w:p w14:paraId="52F23276" w14:textId="3086B927" w:rsidR="00AB6BE3" w:rsidRDefault="00AB6BE3" w:rsidP="00AB6BE3">
      <w:pPr>
        <w:pStyle w:val="NoSpacing"/>
        <w:rPr>
          <w:rFonts w:ascii="Arial" w:hAnsi="Arial" w:cs="Arial"/>
        </w:rPr>
      </w:pPr>
    </w:p>
    <w:p w14:paraId="3B79D04E" w14:textId="4D97322E" w:rsidR="00AB6BE3" w:rsidRDefault="00AB6BE3" w:rsidP="00AB6BE3">
      <w:pPr>
        <w:pStyle w:val="NoSpacing"/>
        <w:rPr>
          <w:rFonts w:ascii="Arial" w:hAnsi="Arial" w:cs="Arial"/>
        </w:rPr>
      </w:pPr>
      <w:r>
        <w:rPr>
          <w:rFonts w:ascii="Arial" w:hAnsi="Arial" w:cs="Arial"/>
        </w:rPr>
        <w:t xml:space="preserve">Following the 28-day period, a hearing </w:t>
      </w:r>
      <w:r w:rsidR="003440E7">
        <w:rPr>
          <w:rFonts w:ascii="Arial" w:hAnsi="Arial" w:cs="Arial"/>
        </w:rPr>
        <w:t>must be arranged. All parties will be invited to attend the hearing and the application for review will be determined.</w:t>
      </w:r>
    </w:p>
    <w:p w14:paraId="3C6CE7CD" w14:textId="39057C30" w:rsidR="003440E7" w:rsidRDefault="003440E7" w:rsidP="00AB6BE3">
      <w:pPr>
        <w:pStyle w:val="NoSpacing"/>
        <w:rPr>
          <w:rFonts w:ascii="Arial" w:hAnsi="Arial" w:cs="Arial"/>
        </w:rPr>
      </w:pPr>
    </w:p>
    <w:p w14:paraId="227A19AD" w14:textId="0B2E74C6" w:rsidR="003440E7" w:rsidRDefault="003440E7" w:rsidP="00AB6BE3">
      <w:pPr>
        <w:pStyle w:val="NoSpacing"/>
        <w:rPr>
          <w:rFonts w:ascii="Arial" w:hAnsi="Arial" w:cs="Arial"/>
        </w:rPr>
      </w:pPr>
      <w:r>
        <w:rPr>
          <w:rFonts w:ascii="Arial" w:hAnsi="Arial" w:cs="Arial"/>
        </w:rPr>
        <w:t>The outcome of the hearing could be one of the following options:</w:t>
      </w:r>
    </w:p>
    <w:p w14:paraId="104296D1" w14:textId="65A07CF5" w:rsidR="003440E7" w:rsidRDefault="003440E7" w:rsidP="00AB6BE3">
      <w:pPr>
        <w:pStyle w:val="NoSpacing"/>
        <w:rPr>
          <w:rFonts w:ascii="Arial" w:hAnsi="Arial" w:cs="Arial"/>
        </w:rPr>
      </w:pPr>
    </w:p>
    <w:p w14:paraId="58E6A336" w14:textId="6B6382A5" w:rsidR="003440E7" w:rsidRDefault="003440E7" w:rsidP="003440E7">
      <w:pPr>
        <w:pStyle w:val="NoSpacing"/>
        <w:numPr>
          <w:ilvl w:val="0"/>
          <w:numId w:val="10"/>
        </w:numPr>
        <w:rPr>
          <w:rFonts w:ascii="Arial" w:hAnsi="Arial" w:cs="Arial"/>
        </w:rPr>
      </w:pPr>
      <w:r>
        <w:rPr>
          <w:rFonts w:ascii="Arial" w:hAnsi="Arial" w:cs="Arial"/>
        </w:rPr>
        <w:t>Modify the conditions of the licence</w:t>
      </w:r>
    </w:p>
    <w:p w14:paraId="6397D50C" w14:textId="0A563659" w:rsidR="003440E7" w:rsidRDefault="003440E7" w:rsidP="003440E7">
      <w:pPr>
        <w:pStyle w:val="NoSpacing"/>
        <w:numPr>
          <w:ilvl w:val="0"/>
          <w:numId w:val="10"/>
        </w:numPr>
        <w:rPr>
          <w:rFonts w:ascii="Arial" w:hAnsi="Arial" w:cs="Arial"/>
        </w:rPr>
      </w:pPr>
      <w:r>
        <w:rPr>
          <w:rFonts w:ascii="Arial" w:hAnsi="Arial" w:cs="Arial"/>
        </w:rPr>
        <w:t>Exclude a licensable activity from the scope of the licence</w:t>
      </w:r>
    </w:p>
    <w:p w14:paraId="286FA50A" w14:textId="6F9491E5" w:rsidR="003440E7" w:rsidRDefault="003440E7" w:rsidP="003440E7">
      <w:pPr>
        <w:pStyle w:val="NoSpacing"/>
        <w:numPr>
          <w:ilvl w:val="0"/>
          <w:numId w:val="10"/>
        </w:numPr>
        <w:rPr>
          <w:rFonts w:ascii="Arial" w:hAnsi="Arial" w:cs="Arial"/>
        </w:rPr>
      </w:pPr>
      <w:r>
        <w:rPr>
          <w:rFonts w:ascii="Arial" w:hAnsi="Arial" w:cs="Arial"/>
        </w:rPr>
        <w:t>Remove the designated premises supervisor</w:t>
      </w:r>
    </w:p>
    <w:p w14:paraId="31ADFA33" w14:textId="4AFFFBBB" w:rsidR="003440E7" w:rsidRDefault="003440E7" w:rsidP="003440E7">
      <w:pPr>
        <w:pStyle w:val="NoSpacing"/>
        <w:numPr>
          <w:ilvl w:val="0"/>
          <w:numId w:val="10"/>
        </w:numPr>
        <w:rPr>
          <w:rFonts w:ascii="Arial" w:hAnsi="Arial" w:cs="Arial"/>
        </w:rPr>
      </w:pPr>
      <w:r>
        <w:rPr>
          <w:rFonts w:ascii="Arial" w:hAnsi="Arial" w:cs="Arial"/>
        </w:rPr>
        <w:t>Suspend the licence for a period not exceeding 3 months</w:t>
      </w:r>
    </w:p>
    <w:p w14:paraId="59691344" w14:textId="0C480463" w:rsidR="003440E7" w:rsidRDefault="003440E7" w:rsidP="003440E7">
      <w:pPr>
        <w:pStyle w:val="NoSpacing"/>
        <w:numPr>
          <w:ilvl w:val="0"/>
          <w:numId w:val="10"/>
        </w:numPr>
        <w:rPr>
          <w:rFonts w:ascii="Arial" w:hAnsi="Arial" w:cs="Arial"/>
        </w:rPr>
      </w:pPr>
      <w:r>
        <w:rPr>
          <w:rFonts w:ascii="Arial" w:hAnsi="Arial" w:cs="Arial"/>
        </w:rPr>
        <w:t>Revoke the licence</w:t>
      </w:r>
    </w:p>
    <w:p w14:paraId="41DCF3C6" w14:textId="5480DA68" w:rsidR="003440E7" w:rsidRDefault="003440E7" w:rsidP="00AB6BE3">
      <w:pPr>
        <w:pStyle w:val="NoSpacing"/>
        <w:rPr>
          <w:rFonts w:ascii="Arial" w:hAnsi="Arial" w:cs="Arial"/>
        </w:rPr>
      </w:pPr>
    </w:p>
    <w:p w14:paraId="6E479BB3" w14:textId="77777777" w:rsidR="003440E7" w:rsidRPr="00AB6BE3" w:rsidRDefault="003440E7" w:rsidP="00AB6BE3">
      <w:pPr>
        <w:pStyle w:val="NoSpacing"/>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8"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9"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0"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1" w:history="1">
        <w:r w:rsidR="00026B51" w:rsidRPr="000D598A">
          <w:rPr>
            <w:rStyle w:val="Hyperlink"/>
            <w:rFonts w:ascii="Arial" w:hAnsi="Arial" w:cs="Arial"/>
          </w:rPr>
          <w:t>https://www.gov.uk/government/publications/explanatory-memorandum-revised-guidance-issued-under-s-182-of-licensing-act-2003</w:t>
        </w:r>
      </w:hyperlink>
    </w:p>
    <w:p w14:paraId="7250669C" w14:textId="0FCA24AE" w:rsidR="00026B51" w:rsidRDefault="00026B51" w:rsidP="00105F3A">
      <w:pPr>
        <w:rPr>
          <w:rFonts w:ascii="Arial" w:hAnsi="Arial" w:cs="Arial"/>
        </w:rPr>
      </w:pPr>
    </w:p>
    <w:p w14:paraId="16715E35" w14:textId="77777777" w:rsidR="0044195E" w:rsidRDefault="0044195E" w:rsidP="00477057">
      <w:pPr>
        <w:pStyle w:val="Default"/>
        <w:rPr>
          <w:rFonts w:ascii="Arial" w:hAnsi="Arial" w:cs="Arial"/>
          <w:b/>
          <w:bCs/>
          <w:color w:val="auto"/>
          <w:sz w:val="32"/>
          <w:szCs w:val="32"/>
          <w:u w:val="single"/>
        </w:rPr>
      </w:pPr>
    </w:p>
    <w:sectPr w:rsidR="0044195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186B" w14:textId="3A9F226A" w:rsidR="0047550D" w:rsidRPr="0047550D" w:rsidRDefault="0047550D" w:rsidP="0047550D">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00026B51">
      <w:rPr>
        <w:rFonts w:ascii="Arial" w:hAnsi="Arial" w:cs="Arial"/>
      </w:rPr>
      <w:t>,</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0F9B" w14:textId="04AEA672" w:rsidR="0047550D" w:rsidRDefault="0047550D">
    <w:pPr>
      <w:pStyle w:val="Header"/>
    </w:pPr>
    <w:r>
      <w:rPr>
        <w:noProof/>
      </w:rPr>
      <w:drawing>
        <wp:anchor distT="0" distB="0" distL="114300" distR="114300" simplePos="0" relativeHeight="251658240" behindDoc="0" locked="0" layoutInCell="1" allowOverlap="1" wp14:anchorId="0C1F8994" wp14:editId="65926BD2">
          <wp:simplePos x="0" y="0"/>
          <wp:positionH relativeFrom="column">
            <wp:posOffset>5114925</wp:posOffset>
          </wp:positionH>
          <wp:positionV relativeFrom="paragraph">
            <wp:posOffset>-209550</wp:posOffset>
          </wp:positionV>
          <wp:extent cx="1154430" cy="1257300"/>
          <wp:effectExtent l="0" t="0" r="762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A7815" w14:textId="689A75D9" w:rsidR="0047550D" w:rsidRDefault="00475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061C"/>
    <w:multiLevelType w:val="hybridMultilevel"/>
    <w:tmpl w:val="1D688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5A4"/>
    <w:multiLevelType w:val="hybridMultilevel"/>
    <w:tmpl w:val="5630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32DB8"/>
    <w:multiLevelType w:val="hybridMultilevel"/>
    <w:tmpl w:val="5B34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032FE"/>
    <w:multiLevelType w:val="hybridMultilevel"/>
    <w:tmpl w:val="D3A26C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C48BB"/>
    <w:multiLevelType w:val="hybridMultilevel"/>
    <w:tmpl w:val="E1249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C692F"/>
    <w:multiLevelType w:val="hybridMultilevel"/>
    <w:tmpl w:val="1180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C774A"/>
    <w:multiLevelType w:val="hybridMultilevel"/>
    <w:tmpl w:val="32B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130B"/>
    <w:multiLevelType w:val="hybridMultilevel"/>
    <w:tmpl w:val="689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84FA6"/>
    <w:multiLevelType w:val="hybridMultilevel"/>
    <w:tmpl w:val="C27A59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C2348BF"/>
    <w:multiLevelType w:val="hybridMultilevel"/>
    <w:tmpl w:val="F6B04C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4"/>
  </w:num>
  <w:num w:numId="5">
    <w:abstractNumId w:val="0"/>
  </w:num>
  <w:num w:numId="6">
    <w:abstractNumId w:val="3"/>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090AF5"/>
    <w:rsid w:val="000F25FC"/>
    <w:rsid w:val="00105F3A"/>
    <w:rsid w:val="002F1C37"/>
    <w:rsid w:val="003440E7"/>
    <w:rsid w:val="003D2465"/>
    <w:rsid w:val="003E37C9"/>
    <w:rsid w:val="0044195E"/>
    <w:rsid w:val="00443417"/>
    <w:rsid w:val="0047550D"/>
    <w:rsid w:val="00477057"/>
    <w:rsid w:val="004B50E0"/>
    <w:rsid w:val="004B7E24"/>
    <w:rsid w:val="004F5098"/>
    <w:rsid w:val="005B07C1"/>
    <w:rsid w:val="006807CA"/>
    <w:rsid w:val="007379F9"/>
    <w:rsid w:val="00753ECA"/>
    <w:rsid w:val="00761755"/>
    <w:rsid w:val="007B0DF6"/>
    <w:rsid w:val="007D4C2A"/>
    <w:rsid w:val="00826A0F"/>
    <w:rsid w:val="008763F1"/>
    <w:rsid w:val="009E7262"/>
    <w:rsid w:val="00AA0078"/>
    <w:rsid w:val="00AB6BE3"/>
    <w:rsid w:val="00AC21CC"/>
    <w:rsid w:val="00AF0E6A"/>
    <w:rsid w:val="00AF1270"/>
    <w:rsid w:val="00B405B5"/>
    <w:rsid w:val="00CA22ED"/>
    <w:rsid w:val="00D92C5A"/>
    <w:rsid w:val="00E31C52"/>
    <w:rsid w:val="00E37B9F"/>
    <w:rsid w:val="00EE545A"/>
    <w:rsid w:val="00F16ECC"/>
    <w:rsid w:val="00F5429E"/>
    <w:rsid w:val="00F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A0078"/>
    <w:pPr>
      <w:spacing w:after="0" w:line="240" w:lineRule="auto"/>
    </w:pPr>
  </w:style>
  <w:style w:type="paragraph" w:styleId="ListParagraph">
    <w:name w:val="List Paragraph"/>
    <w:basedOn w:val="Normal"/>
    <w:uiPriority w:val="34"/>
    <w:qFormat/>
    <w:rsid w:val="00AA0078"/>
    <w:pPr>
      <w:ind w:left="720"/>
      <w:contextualSpacing/>
    </w:pPr>
  </w:style>
  <w:style w:type="paragraph" w:customStyle="1" w:styleId="Default">
    <w:name w:val="Default"/>
    <w:rsid w:val="004419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2">
    <w:name w:val="N2"/>
    <w:basedOn w:val="Default"/>
    <w:next w:val="Default"/>
    <w:rsid w:val="0044195E"/>
    <w:pPr>
      <w:spacing w:before="80"/>
    </w:pPr>
    <w:rPr>
      <w:color w:val="auto"/>
    </w:rPr>
  </w:style>
  <w:style w:type="paragraph" w:customStyle="1" w:styleId="N3">
    <w:name w:val="N3"/>
    <w:basedOn w:val="Default"/>
    <w:next w:val="Default"/>
    <w:rsid w:val="0044195E"/>
    <w:pPr>
      <w:spacing w:before="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xplanatory-memorandum-revised-guidance-issued-under-s-182-of-licensing-act-2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pga/2003/17/contents" TargetMode="External"/><Relationship Id="rId4" Type="http://schemas.openxmlformats.org/officeDocument/2006/relationships/settings" Target="settings.xml"/><Relationship Id="rId9" Type="http://schemas.openxmlformats.org/officeDocument/2006/relationships/hyperlink" Target="http://www.oldham.gov.uk/licens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B8B3-A3B3-4E55-AEF0-CF0003E5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4</cp:revision>
  <dcterms:created xsi:type="dcterms:W3CDTF">2021-08-25T13:53:00Z</dcterms:created>
  <dcterms:modified xsi:type="dcterms:W3CDTF">2021-08-26T10:13:00Z</dcterms:modified>
</cp:coreProperties>
</file>